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default" w:ascii="Times New Roman" w:hAnsi="Times New Roman" w:cs="Times New Roman" w:eastAsiaTheme="minorEastAsia"/>
          <w:b/>
          <w:bCs/>
          <w:color w:val="auto"/>
          <w:sz w:val="44"/>
          <w:szCs w:val="44"/>
          <w:highlight w:val="none"/>
          <w:u w:val="none"/>
          <w:lang w:eastAsia="zh-CN"/>
        </w:rPr>
      </w:pPr>
      <w:r>
        <w:rPr>
          <w:rFonts w:hint="eastAsia" w:ascii="方正粗黑宋简体" w:hAnsi="方正粗黑宋简体" w:eastAsia="方正粗黑宋简体" w:cs="宋体"/>
          <w:b/>
          <w:bCs/>
          <w:sz w:val="44"/>
          <w:szCs w:val="44"/>
        </w:rPr>
        <w:t>安徽</w:t>
      </w:r>
      <w:r>
        <w:rPr>
          <w:rFonts w:hint="eastAsia" w:ascii="方正粗黑宋简体" w:hAnsi="方正粗黑宋简体" w:eastAsia="方正粗黑宋简体" w:cs="宋体"/>
          <w:b/>
          <w:bCs/>
          <w:sz w:val="44"/>
          <w:szCs w:val="44"/>
          <w:lang w:eastAsia="zh-CN"/>
        </w:rPr>
        <w:t>交运集团汽车销售</w:t>
      </w:r>
      <w:r>
        <w:rPr>
          <w:rFonts w:hint="eastAsia" w:ascii="方正粗黑宋简体" w:hAnsi="方正粗黑宋简体" w:eastAsia="方正粗黑宋简体" w:cs="宋体"/>
          <w:b/>
          <w:bCs/>
          <w:sz w:val="44"/>
          <w:szCs w:val="44"/>
        </w:rPr>
        <w:t>有限公司</w:t>
      </w:r>
      <w:r>
        <w:rPr>
          <w:rFonts w:hint="eastAsia" w:ascii="方正粗黑宋简体" w:hAnsi="方正粗黑宋简体" w:eastAsia="方正粗黑宋简体" w:cs="方正小标宋简体"/>
          <w:b/>
          <w:bCs/>
          <w:kern w:val="0"/>
          <w:sz w:val="44"/>
          <w:szCs w:val="44"/>
          <w:lang w:val="en-US" w:eastAsia="zh-CN"/>
        </w:rPr>
        <w:t>汽车</w:t>
      </w:r>
      <w:r>
        <w:rPr>
          <w:rFonts w:hint="eastAsia" w:ascii="方正粗黑宋简体" w:hAnsi="方正粗黑宋简体" w:eastAsia="方正粗黑宋简体" w:cs="方正小标宋简体"/>
          <w:b/>
          <w:bCs/>
          <w:kern w:val="0"/>
          <w:sz w:val="44"/>
          <w:szCs w:val="44"/>
        </w:rPr>
        <w:t>采购</w:t>
      </w:r>
    </w:p>
    <w:p>
      <w:pPr>
        <w:spacing w:line="540" w:lineRule="exact"/>
        <w:ind w:firstLine="420"/>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640"/>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eastAsia="zh-CN"/>
        </w:rPr>
        <w:t>安徽交运集团汽车销售有限公司</w:t>
      </w:r>
      <w:r>
        <w:rPr>
          <w:rFonts w:hint="default" w:ascii="Times New Roman" w:hAnsi="Times New Roman" w:eastAsia="黑体"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textAlignment w:val="auto"/>
        <w:rPr>
          <w:rFonts w:hint="default" w:ascii="Times New Roman" w:hAnsi="Times New Roman" w:cs="Times New Roman" w:eastAsiaTheme="minorEastAsia"/>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日</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期</w:t>
      </w:r>
      <w:r>
        <w:rPr>
          <w:rFonts w:hint="default" w:ascii="Times New Roman" w:hAnsi="Times New Roman" w:cs="Times New Roman"/>
          <w:color w:val="auto"/>
          <w:sz w:val="32"/>
          <w:szCs w:val="32"/>
          <w:highlight w:val="none"/>
        </w:rPr>
        <w:t>：</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2021</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年</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4</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月</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13</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hint="eastAsia" w:ascii="黑体" w:hAnsi="黑体" w:eastAsia="黑体" w:cs="黑体"/>
          <w:color w:val="auto"/>
          <w:kern w:val="2"/>
          <w:sz w:val="44"/>
          <w:szCs w:val="44"/>
          <w:highlight w:val="none"/>
          <w:lang w:val="en-US" w:eastAsia="zh-CN" w:bidi="ar-SA"/>
        </w:rPr>
        <w:id w:val="147481990"/>
        <w:docPartObj>
          <w:docPartGallery w:val="Table of Contents"/>
          <w:docPartUnique/>
        </w:docPartObj>
      </w:sdtPr>
      <w:sdtEndPr>
        <w:rPr>
          <w:rFonts w:hint="eastAsia" w:asciiTheme="minorHAnsi" w:hAnsiTheme="minorHAnsi" w:eastAsiaTheme="minorEastAsia" w:cstheme="minorBidi"/>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kern w:val="2"/>
              <w:sz w:val="44"/>
              <w:szCs w:val="44"/>
              <w:highlight w:val="none"/>
              <w:lang w:val="en-US" w:eastAsia="zh-CN" w:bidi="ar-SA"/>
            </w:rPr>
          </w:pPr>
          <w:bookmarkStart w:id="0" w:name="_Toc13148_WPSOffice_Type1"/>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目</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录</w:t>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_Toc6425_WPSOffice_Level1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d5a7d01c-bc8a-4903-8aba-701e891a527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_Toc3807_WPSOffice_Level1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b17f531-b584-4d6f-a472-009dcc569c66}"/>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_Toc18182_WPSOffice_Level1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eca555e5-0fc7-432f-83bf-ea87e5ca5b0a}"/>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_Toc10990_WPSOffice_Level1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4646551-0be3-43f1-b055-0889bfe9d57f}"/>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_Toc21707_WPSOffice_Level1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036c27ef-f590-4ed7-8229-c704735b358b}"/>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_Toc9834_WPSOffice_Level1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bed0e2f2-b948-4970-bd98-2e02bda7af0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cs="Times New Roman"/>
              <w:color w:val="auto"/>
              <w:sz w:val="28"/>
              <w:szCs w:val="28"/>
              <w:highlight w:val="none"/>
            </w:rPr>
            <w:fldChar w:fldCharType="end"/>
          </w:r>
        </w:p>
        <w:bookmarkEnd w:id="0"/>
        <w:p>
          <w:pPr>
            <w:pStyle w:val="16"/>
            <w:tabs>
              <w:tab w:val="right" w:leader="dot" w:pos="8312"/>
            </w:tabs>
            <w:rPr>
              <w:color w:val="auto"/>
              <w:highlight w:val="none"/>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3"/>
        <w:spacing w:before="240" w:after="240"/>
        <w:rPr>
          <w:rFonts w:hint="default" w:ascii="Times New Roman" w:hAnsi="Times New Roman" w:eastAsia="宋体" w:cs="Times New Roman"/>
          <w:color w:val="auto"/>
          <w:highlight w:val="none"/>
        </w:rPr>
      </w:pPr>
      <w:bookmarkStart w:id="1" w:name="_Toc6425_WPSOffice_Level1"/>
      <w:r>
        <w:rPr>
          <w:rFonts w:hint="default" w:ascii="Times New Roman" w:hAnsi="Times New Roman" w:eastAsia="宋体" w:cs="Times New Roman"/>
          <w:color w:val="auto"/>
          <w:highlight w:val="none"/>
        </w:rPr>
        <w:t>采购公告</w:t>
      </w:r>
      <w:bookmarkEnd w:id="1"/>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 w:name="_Toc10395_WPSOffice_Level2"/>
      <w:bookmarkStart w:id="3" w:name="_Toc525632585"/>
      <w:bookmarkStart w:id="4" w:name="_Toc4489_WPSOffice_Level2"/>
      <w:bookmarkStart w:id="5" w:name="_Toc6496_WPSOffice_Level2"/>
      <w:bookmarkStart w:id="6" w:name="_Toc13871"/>
      <w:bookmarkStart w:id="7" w:name="_Toc24354_WPSOffice_Level2"/>
      <w:bookmarkStart w:id="8" w:name="_Toc12765"/>
      <w:r>
        <w:rPr>
          <w:rFonts w:hint="default" w:ascii="Times New Roman" w:hAnsi="Times New Roman" w:eastAsia="黑体" w:cs="Times New Roman"/>
          <w:bCs w:val="0"/>
          <w:color w:val="auto"/>
          <w:sz w:val="22"/>
          <w:szCs w:val="15"/>
          <w:highlight w:val="none"/>
        </w:rPr>
        <w:t>项目简介</w:t>
      </w:r>
      <w:bookmarkEnd w:id="2"/>
      <w:bookmarkEnd w:id="3"/>
      <w:bookmarkEnd w:id="4"/>
      <w:bookmarkEnd w:id="5"/>
      <w:bookmarkEnd w:id="6"/>
      <w:bookmarkEnd w:id="7"/>
      <w:bookmarkEnd w:id="8"/>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rPr>
        <w:t>1.1 项目名称：</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安徽交运集团汽车销售有限公司汽车采购</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1.2 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eastAsia="宋体"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1.3 </w:t>
      </w:r>
      <w:r>
        <w:rPr>
          <w:rFonts w:hint="default" w:ascii="Times New Roman" w:hAnsi="Times New Roman" w:cs="Times New Roman"/>
          <w:color w:val="auto"/>
          <w:sz w:val="21"/>
          <w:szCs w:val="22"/>
          <w:highlight w:val="none"/>
          <w:lang w:val="en-US" w:eastAsia="zh-CN"/>
        </w:rPr>
        <w:t>项目概况</w:t>
      </w:r>
      <w:r>
        <w:rPr>
          <w:rFonts w:hint="default" w:ascii="Times New Roman" w:hAnsi="Times New Roman" w:cs="Times New Roman"/>
          <w:color w:val="auto"/>
          <w:sz w:val="21"/>
          <w:szCs w:val="22"/>
          <w:highlight w:val="none"/>
        </w:rPr>
        <w:t>：</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1.采购红旗H5智联旗领版，2.采购别克君越2021款豪华型, </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3.采购域虎7双排8AT柴油4X2 GL（495）(ABS)，4采购福特2019款9座低顶BUS。</w:t>
      </w:r>
      <w:r>
        <w:rPr>
          <w:rFonts w:hint="default" w:ascii="Times New Roman" w:hAnsi="Times New Roman" w:cs="Times New Roman"/>
          <w:color w:val="auto"/>
          <w:sz w:val="21"/>
          <w:szCs w:val="22"/>
          <w:highlight w:val="none"/>
          <w:u w:val="single"/>
          <w:lang w:val="en-US" w:eastAsia="zh-CN"/>
        </w:rPr>
        <w:t xml:space="preserve">      </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9" w:name="_Toc17858_WPSOffice_Level2"/>
      <w:bookmarkStart w:id="10" w:name="_Toc18453"/>
      <w:bookmarkStart w:id="11" w:name="_Toc525632586"/>
      <w:bookmarkStart w:id="12" w:name="_Toc8128_WPSOffice_Level2"/>
      <w:bookmarkStart w:id="13" w:name="_Toc23266_WPSOffice_Level2"/>
      <w:bookmarkStart w:id="14" w:name="_Toc10274"/>
      <w:bookmarkStart w:id="15" w:name="_Toc18367_WPSOffice_Level2"/>
      <w:r>
        <w:rPr>
          <w:rFonts w:hint="default" w:ascii="Times New Roman" w:hAnsi="Times New Roman" w:eastAsia="黑体" w:cs="Times New Roman"/>
          <w:bCs w:val="0"/>
          <w:color w:val="auto"/>
          <w:sz w:val="22"/>
          <w:szCs w:val="15"/>
          <w:highlight w:val="none"/>
        </w:rPr>
        <w:t>采购说明</w:t>
      </w:r>
      <w:bookmarkEnd w:id="9"/>
      <w:bookmarkEnd w:id="10"/>
      <w:bookmarkEnd w:id="11"/>
      <w:bookmarkEnd w:id="12"/>
      <w:bookmarkEnd w:id="13"/>
      <w:bookmarkEnd w:id="14"/>
      <w:bookmarkEnd w:id="15"/>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single"/>
        </w:rPr>
      </w:pPr>
      <w:bookmarkStart w:id="16" w:name="_Toc4489_WPSOffice_Level3"/>
      <w:r>
        <w:rPr>
          <w:rFonts w:hint="default" w:ascii="Times New Roman" w:hAnsi="Times New Roman" w:cs="Times New Roman"/>
          <w:color w:val="auto"/>
          <w:sz w:val="21"/>
          <w:szCs w:val="22"/>
          <w:highlight w:val="none"/>
        </w:rPr>
        <w:t>2.1 采购方式：</w:t>
      </w:r>
      <w:bookmarkEnd w:id="16"/>
      <w:r>
        <w:rPr>
          <w:rFonts w:hint="default" w:ascii="Times New Roman" w:hAnsi="Times New Roman" w:cs="Times New Roman"/>
          <w:color w:val="auto"/>
          <w:sz w:val="21"/>
          <w:szCs w:val="22"/>
          <w:highlight w:val="none"/>
          <w:u w:val="single"/>
          <w:lang w:val="en-US" w:eastAsia="zh-CN"/>
        </w:rPr>
        <w:t>公开询比采购</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u w:val="single"/>
          <w:lang w:eastAsia="zh-CN"/>
        </w:rPr>
      </w:pPr>
      <w:bookmarkStart w:id="17" w:name="_Toc23266_WPSOffice_Level3"/>
      <w:r>
        <w:rPr>
          <w:rFonts w:hint="default" w:ascii="Times New Roman" w:hAnsi="Times New Roman" w:cs="Times New Roman"/>
          <w:color w:val="auto"/>
          <w:sz w:val="21"/>
          <w:szCs w:val="22"/>
          <w:highlight w:val="none"/>
        </w:rPr>
        <w:t>2.2 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bookmarkEnd w:id="17"/>
      <w:bookmarkStart w:id="18" w:name="_Toc22379_WPSOffice_Level3"/>
      <w:r>
        <w:rPr>
          <w:rFonts w:hint="default" w:ascii="Times New Roman" w:hAnsi="Times New Roman" w:cs="Times New Roman"/>
          <w:color w:val="auto"/>
          <w:sz w:val="21"/>
          <w:szCs w:val="22"/>
          <w:highlight w:val="none"/>
          <w:u w:val="single"/>
          <w:lang w:val="en-US" w:eastAsia="zh-CN"/>
        </w:rPr>
        <w:t>企业自筹</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 xml:space="preserve">2.3 </w:t>
      </w:r>
      <w:r>
        <w:rPr>
          <w:rFonts w:hint="eastAsia" w:ascii="Times New Roman" w:hAnsi="Times New Roman" w:cs="Times New Roman"/>
          <w:color w:val="auto"/>
          <w:sz w:val="21"/>
          <w:szCs w:val="22"/>
          <w:highlight w:val="none"/>
          <w:lang w:val="en-US" w:eastAsia="zh-CN"/>
        </w:rPr>
        <w:t>采购范围：</w:t>
      </w:r>
      <w:r>
        <w:rPr>
          <w:rFonts w:hint="eastAsia" w:ascii="Times New Roman" w:hAnsi="Times New Roman" w:cs="Times New Roman"/>
          <w:color w:val="auto"/>
          <w:sz w:val="21"/>
          <w:szCs w:val="22"/>
          <w:highlight w:val="none"/>
          <w:u w:val="single"/>
          <w:lang w:val="en-US" w:eastAsia="zh-CN"/>
        </w:rPr>
        <w:t>1、采购1辆红旗H5智联旗领版(1.8T),2、采购1辆别克君越2021款豪华型（1.5T）3、采购1辆域虎7双排8AT柴油 4X2 GL(495)(ABS)。4、采购2辆福特2019款，9座低顶BUS 冰白</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eastAsia" w:ascii="Times New Roman" w:hAnsi="Times New Roman" w:cs="Times New Roman"/>
          <w:color w:val="auto"/>
          <w:sz w:val="21"/>
          <w:szCs w:val="22"/>
          <w:highlight w:val="none"/>
          <w:lang w:val="en-US" w:eastAsia="zh-CN"/>
        </w:rPr>
        <w:t xml:space="preserve">2.4 </w:t>
      </w:r>
      <w:r>
        <w:rPr>
          <w:rFonts w:hint="default" w:ascii="Times New Roman" w:hAnsi="Times New Roman" w:cs="Times New Roman"/>
          <w:color w:val="auto"/>
          <w:sz w:val="21"/>
          <w:szCs w:val="22"/>
          <w:highlight w:val="none"/>
          <w:lang w:val="en-US" w:eastAsia="zh-CN"/>
        </w:rPr>
        <w:t>合同包划分：</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4个合同包（其中，红旗H5智联旗领版1台为1包；别克君越2021款豪华型（1.5T）1台为2包, </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域虎7双排8AT柴油4X2 GL（495）（ABS）1台为3包），福特2019款，9座低顶BUS冰白 2台为4包。</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bookmarkEnd w:id="18"/>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1包控制价20万元，2包控制价18万元，3包控制价15万元，4包控制价20万元/辆，4个合同包的控制价均含购置税。</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2.6 计划</w:t>
      </w:r>
      <w:r>
        <w:rPr>
          <w:rFonts w:hint="eastAsia" w:ascii="Times New Roman" w:hAnsi="Times New Roman" w:cs="Times New Roman"/>
          <w:color w:val="auto"/>
          <w:sz w:val="21"/>
          <w:szCs w:val="22"/>
          <w:highlight w:val="none"/>
          <w:lang w:val="en-US" w:eastAsia="zh-CN"/>
        </w:rPr>
        <w:t>交货</w:t>
      </w:r>
      <w:r>
        <w:rPr>
          <w:rFonts w:hint="default" w:ascii="Times New Roman" w:hAnsi="Times New Roman" w:cs="Times New Roman"/>
          <w:color w:val="auto"/>
          <w:sz w:val="21"/>
          <w:szCs w:val="22"/>
          <w:highlight w:val="none"/>
          <w:lang w:val="en-US" w:eastAsia="zh-CN"/>
        </w:rPr>
        <w:t>期：</w:t>
      </w:r>
      <w:r>
        <w:rPr>
          <w:rFonts w:hint="eastAsia" w:ascii="Times New Roman" w:hAnsi="Times New Roman" w:cs="Times New Roman"/>
          <w:color w:val="auto"/>
          <w:sz w:val="21"/>
          <w:szCs w:val="22"/>
          <w:highlight w:val="none"/>
          <w:u w:val="single"/>
          <w:lang w:val="en-US" w:eastAsia="zh-CN"/>
        </w:rPr>
        <w:t xml:space="preserve">  </w:t>
      </w:r>
      <w:r>
        <w:rPr>
          <w:rFonts w:hint="eastAsia" w:cs="宋体"/>
          <w:sz w:val="21"/>
          <w:szCs w:val="21"/>
          <w:u w:val="single"/>
        </w:rPr>
        <w:t>合同签订之日起</w:t>
      </w:r>
      <w:r>
        <w:rPr>
          <w:rFonts w:hint="eastAsia" w:cs="宋体"/>
          <w:sz w:val="21"/>
          <w:szCs w:val="21"/>
          <w:u w:val="single"/>
          <w:lang w:val="en-US" w:eastAsia="zh-CN"/>
        </w:rPr>
        <w:t>30</w:t>
      </w:r>
      <w:r>
        <w:rPr>
          <w:rFonts w:hint="eastAsia" w:cs="宋体"/>
          <w:sz w:val="21"/>
          <w:szCs w:val="21"/>
          <w:u w:val="single"/>
        </w:rPr>
        <w:t>个日历天内</w:t>
      </w:r>
      <w:r>
        <w:rPr>
          <w:rFonts w:hint="eastAsia" w:cs="宋体"/>
          <w:sz w:val="21"/>
          <w:szCs w:val="21"/>
          <w:u w:val="single"/>
          <w:lang w:eastAsia="zh-CN"/>
        </w:rPr>
        <w:t>。</w:t>
      </w:r>
    </w:p>
    <w:p>
      <w:pPr>
        <w:pStyle w:val="2"/>
        <w:pageBreakBefore w:val="0"/>
        <w:kinsoku/>
        <w:wordWrap/>
        <w:overflowPunct/>
        <w:topLinePunct w:val="0"/>
        <w:autoSpaceDE/>
        <w:autoSpaceDN/>
        <w:bidi w:val="0"/>
        <w:adjustRightInd/>
        <w:spacing w:line="560" w:lineRule="exact"/>
        <w:textAlignment w:val="auto"/>
        <w:rPr>
          <w:rFonts w:hint="default"/>
          <w:lang w:val="en-US" w:eastAsia="zh-CN"/>
        </w:rPr>
      </w:pPr>
      <w:r>
        <w:rPr>
          <w:rFonts w:hint="eastAsia" w:ascii="Times New Roman" w:hAnsi="Times New Roman" w:cs="Times New Roman"/>
          <w:color w:val="auto"/>
          <w:sz w:val="21"/>
          <w:szCs w:val="22"/>
          <w:highlight w:val="none"/>
          <w:u w:val="single"/>
          <w:lang w:val="en-US" w:eastAsia="zh-CN"/>
        </w:rPr>
        <w:t xml:space="preserve">    2.7 每个供应商对合同包进行分开报价。</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19" w:name="_Toc3714"/>
      <w:bookmarkStart w:id="20" w:name="_Toc6388"/>
      <w:bookmarkStart w:id="21" w:name="_Toc31673_WPSOffice_Level2"/>
      <w:bookmarkStart w:id="22" w:name="_Toc22379_WPSOffice_Level2"/>
      <w:bookmarkStart w:id="23" w:name="_Toc525632587"/>
      <w:bookmarkStart w:id="24" w:name="_Toc29516_WPSOffice_Level2"/>
      <w:bookmarkStart w:id="25" w:name="_Toc1622_WPSOffice_Level2"/>
      <w:r>
        <w:rPr>
          <w:rFonts w:hint="default" w:ascii="Times New Roman" w:hAnsi="Times New Roman" w:eastAsia="黑体" w:cs="Times New Roman"/>
          <w:bCs w:val="0"/>
          <w:color w:val="auto"/>
          <w:sz w:val="22"/>
          <w:szCs w:val="15"/>
          <w:highlight w:val="none"/>
        </w:rPr>
        <w:t>供应商资格条件</w:t>
      </w:r>
      <w:bookmarkEnd w:id="19"/>
      <w:bookmarkEnd w:id="20"/>
      <w:bookmarkEnd w:id="21"/>
      <w:bookmarkEnd w:id="22"/>
      <w:bookmarkEnd w:id="23"/>
      <w:bookmarkEnd w:id="24"/>
      <w:bookmarkEnd w:id="25"/>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3.1 </w:t>
      </w:r>
      <w:r>
        <w:rPr>
          <w:rFonts w:hint="default" w:ascii="Times New Roman" w:hAnsi="Times New Roman" w:cs="Times New Roman"/>
          <w:color w:val="auto"/>
          <w:sz w:val="21"/>
          <w:szCs w:val="22"/>
          <w:highlight w:val="none"/>
          <w:lang w:val="en-US" w:eastAsia="zh-CN"/>
        </w:rPr>
        <w:t>本次采购要求供应商须</w:t>
      </w:r>
      <w:r>
        <w:rPr>
          <w:rFonts w:hint="eastAsia" w:ascii="Times New Roman" w:hAnsi="Times New Roman" w:cs="Times New Roman"/>
          <w:color w:val="auto"/>
          <w:sz w:val="21"/>
          <w:szCs w:val="22"/>
          <w:highlight w:val="none"/>
          <w:lang w:val="en-US" w:eastAsia="zh-CN"/>
        </w:rPr>
        <w:t>同时</w:t>
      </w:r>
      <w:r>
        <w:rPr>
          <w:rFonts w:hint="default" w:ascii="Times New Roman" w:hAnsi="Times New Roman" w:cs="Times New Roman"/>
          <w:color w:val="auto"/>
          <w:sz w:val="21"/>
          <w:szCs w:val="22"/>
          <w:highlight w:val="none"/>
          <w:lang w:val="en-US" w:eastAsia="zh-CN"/>
        </w:rPr>
        <w:t>具备：</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（1）资质</w:t>
      </w:r>
      <w:r>
        <w:rPr>
          <w:rFonts w:hint="eastAsia" w:ascii="Times New Roman" w:hAnsi="Times New Roman" w:cs="Times New Roman"/>
          <w:color w:val="auto"/>
          <w:sz w:val="21"/>
          <w:szCs w:val="22"/>
          <w:highlight w:val="none"/>
          <w:u w:val="none"/>
          <w:lang w:val="en-US" w:eastAsia="zh-CN"/>
        </w:rPr>
        <w:t>最低</w:t>
      </w:r>
      <w:r>
        <w:rPr>
          <w:rFonts w:hint="default" w:ascii="Times New Roman" w:hAnsi="Times New Roman" w:cs="Times New Roman"/>
          <w:color w:val="auto"/>
          <w:sz w:val="21"/>
          <w:szCs w:val="22"/>
          <w:highlight w:val="none"/>
          <w:u w:val="none"/>
          <w:lang w:val="en-US" w:eastAsia="zh-CN"/>
        </w:rPr>
        <w:t>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供应商应具备本次采购品牌车辆的销售资质，</w:t>
      </w:r>
      <w:r>
        <w:rPr>
          <w:rFonts w:hint="default" w:ascii="Times New Roman" w:hAnsi="Times New Roman" w:cs="Times New Roman"/>
          <w:color w:val="auto"/>
          <w:sz w:val="21"/>
          <w:szCs w:val="22"/>
          <w:highlight w:val="none"/>
          <w:u w:val="none"/>
          <w:lang w:val="en-US" w:eastAsia="zh-CN"/>
        </w:rPr>
        <w:t>具备独立法人资格，持有有效的营业执照；</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②</w:t>
      </w:r>
      <w:r>
        <w:rPr>
          <w:rFonts w:hint="eastAsia" w:ascii="Times New Roman" w:hAnsi="Times New Roman" w:cs="Times New Roman"/>
          <w:color w:val="auto"/>
          <w:sz w:val="21"/>
          <w:szCs w:val="22"/>
          <w:highlight w:val="none"/>
          <w:u w:val="none"/>
          <w:lang w:val="en-US" w:eastAsia="zh-CN"/>
        </w:rPr>
        <w:t>供应商应为本次采购品牌车辆的制造商或代理商，代理商应具备</w:t>
      </w:r>
      <w:r>
        <w:rPr>
          <w:rFonts w:hint="eastAsia" w:ascii="Times New Roman" w:hAnsi="Times New Roman" w:cs="Times New Roman"/>
          <w:color w:val="auto"/>
          <w:sz w:val="21"/>
          <w:szCs w:val="22"/>
          <w:highlight w:val="none"/>
          <w:u w:val="single"/>
          <w:lang w:val="en-US" w:eastAsia="zh-CN"/>
        </w:rPr>
        <w:t>制造商直接授予的代理授权书</w:t>
      </w:r>
      <w:r>
        <w:rPr>
          <w:rFonts w:hint="eastAsia" w:ascii="Times New Roman" w:hAnsi="Times New Roman" w:cs="Times New Roman"/>
          <w:color w:val="auto"/>
          <w:sz w:val="21"/>
          <w:szCs w:val="22"/>
          <w:highlight w:val="none"/>
          <w:u w:val="none"/>
          <w:lang w:val="en-US" w:eastAsia="zh-CN"/>
        </w:rPr>
        <w:t>_。</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Theme="minorEastAsia" w:hAnsiTheme="minorEastAsia" w:eastAsiaTheme="minorEastAsia" w:cstheme="minorEastAsia"/>
          <w:b w:val="0"/>
          <w:bCs w:val="0"/>
          <w:i w:val="0"/>
          <w:caps w:val="0"/>
          <w:color w:val="auto"/>
          <w:spacing w:val="0"/>
          <w:sz w:val="21"/>
          <w:szCs w:val="21"/>
        </w:rPr>
      </w:pPr>
      <w:r>
        <w:rPr>
          <w:rFonts w:hint="eastAsia" w:ascii="Times New Roman" w:hAnsi="Times New Roman" w:cs="Times New Roman"/>
          <w:b w:val="0"/>
          <w:bCs w:val="0"/>
          <w:color w:val="auto"/>
          <w:sz w:val="21"/>
          <w:szCs w:val="22"/>
          <w:highlight w:val="none"/>
          <w:u w:val="none"/>
          <w:lang w:val="en-US" w:eastAsia="zh-CN"/>
        </w:rPr>
        <w:t>（2）</w:t>
      </w:r>
      <w:r>
        <w:rPr>
          <w:rFonts w:hint="eastAsia" w:asciiTheme="minorEastAsia" w:hAnsiTheme="minorEastAsia" w:eastAsiaTheme="minorEastAsia" w:cstheme="minorEastAsia"/>
          <w:b w:val="0"/>
          <w:bCs w:val="0"/>
          <w:i w:val="0"/>
          <w:caps w:val="0"/>
          <w:color w:val="auto"/>
          <w:spacing w:val="0"/>
          <w:sz w:val="21"/>
          <w:szCs w:val="21"/>
          <w:shd w:val="clear" w:fill="FFFFFF"/>
        </w:rPr>
        <w:t>业绩最低要求：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default" w:ascii="Times New Roman" w:hAnsi="Times New Roman" w:cs="Times New Roman" w:eastAsiaTheme="minorEastAsia"/>
          <w:b w:val="0"/>
          <w:bCs w:val="0"/>
          <w:color w:val="auto"/>
          <w:sz w:val="21"/>
          <w:szCs w:val="22"/>
          <w:highlight w:val="none"/>
          <w:u w:val="none"/>
          <w:lang w:val="en-US" w:eastAsia="zh-CN"/>
        </w:rPr>
      </w:pPr>
      <w:r>
        <w:rPr>
          <w:rFonts w:hint="eastAsia" w:asciiTheme="minorEastAsia" w:hAnsiTheme="minorEastAsia" w:eastAsiaTheme="minorEastAsia" w:cstheme="minorEastAsia"/>
          <w:b w:val="0"/>
          <w:bCs w:val="0"/>
          <w:i w:val="0"/>
          <w:caps w:val="0"/>
          <w:color w:val="auto"/>
          <w:spacing w:val="0"/>
          <w:sz w:val="21"/>
          <w:szCs w:val="21"/>
          <w:shd w:val="clear" w:fill="FFFFFF"/>
        </w:rPr>
        <w:t>近2年（时间以响应文件递交截止日期为准）具备</w:t>
      </w:r>
      <w:r>
        <w:rPr>
          <w:rFonts w:hint="eastAsia" w:asciiTheme="minorEastAsia" w:hAnsiTheme="minorEastAsia" w:cstheme="minorEastAsia"/>
          <w:b w:val="0"/>
          <w:bCs w:val="0"/>
          <w:i w:val="0"/>
          <w:caps w:val="0"/>
          <w:color w:val="auto"/>
          <w:spacing w:val="0"/>
          <w:sz w:val="21"/>
          <w:szCs w:val="21"/>
          <w:shd w:val="clear" w:fill="FFFFFF"/>
          <w:lang w:eastAsia="zh-CN"/>
        </w:rPr>
        <w:t>本次采购品牌及型号车辆的销售业绩</w:t>
      </w:r>
      <w:r>
        <w:rPr>
          <w:rFonts w:hint="eastAsia" w:asciiTheme="minorEastAsia" w:hAnsiTheme="minorEastAsia" w:eastAsiaTheme="minorEastAsia" w:cstheme="minorEastAsia"/>
          <w:b w:val="0"/>
          <w:bCs w:val="0"/>
          <w:i w:val="0"/>
          <w:caps w:val="0"/>
          <w:color w:val="auto"/>
          <w:spacing w:val="0"/>
          <w:sz w:val="21"/>
          <w:szCs w:val="21"/>
          <w:shd w:val="clear" w:fill="FFFFFF"/>
        </w:rPr>
        <w:t>，</w:t>
      </w:r>
      <w:r>
        <w:rPr>
          <w:rFonts w:hint="eastAsia" w:asciiTheme="minorEastAsia" w:hAnsiTheme="minorEastAsia" w:cstheme="minorEastAsia"/>
          <w:b w:val="0"/>
          <w:bCs w:val="0"/>
          <w:i w:val="0"/>
          <w:caps w:val="0"/>
          <w:color w:val="auto"/>
          <w:spacing w:val="0"/>
          <w:sz w:val="21"/>
          <w:szCs w:val="21"/>
          <w:shd w:val="clear" w:fill="FFFFFF"/>
          <w:lang w:eastAsia="zh-CN"/>
        </w:rPr>
        <w:t>销售车辆不得少于</w:t>
      </w:r>
      <w:r>
        <w:rPr>
          <w:rFonts w:hint="eastAsia" w:asciiTheme="minorEastAsia" w:hAnsiTheme="minorEastAsia" w:cstheme="minorEastAsia"/>
          <w:b w:val="0"/>
          <w:bCs w:val="0"/>
          <w:i w:val="0"/>
          <w:caps w:val="0"/>
          <w:color w:val="auto"/>
          <w:spacing w:val="0"/>
          <w:sz w:val="21"/>
          <w:szCs w:val="21"/>
          <w:shd w:val="clear" w:fill="FFFFFF"/>
          <w:lang w:val="en-US" w:eastAsia="zh-CN"/>
        </w:rPr>
        <w:t>300台。</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（3）</w:t>
      </w:r>
      <w:r>
        <w:rPr>
          <w:rFonts w:hint="default" w:ascii="Times New Roman" w:hAnsi="Times New Roman" w:cs="Times New Roman"/>
          <w:color w:val="auto"/>
          <w:sz w:val="21"/>
          <w:szCs w:val="22"/>
          <w:highlight w:val="none"/>
          <w:u w:val="none"/>
          <w:lang w:val="en-US" w:eastAsia="zh-CN"/>
        </w:rPr>
        <w:t>信誉要求最低要求：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r>
        <w:rPr>
          <w:rFonts w:hint="eastAsia" w:ascii="Times New Roman" w:hAnsi="Times New Roman" w:cs="Times New Roman"/>
          <w:color w:val="auto"/>
          <w:sz w:val="21"/>
          <w:szCs w:val="22"/>
          <w:highlight w:val="none"/>
          <w:u w:val="none"/>
          <w:lang w:val="en-US" w:eastAsia="zh-CN"/>
        </w:rPr>
        <w:t>；</w:t>
      </w:r>
    </w:p>
    <w:p>
      <w:pPr>
        <w:pStyle w:val="10"/>
        <w:pageBreakBefore w:val="0"/>
        <w:kinsoku/>
        <w:wordWrap/>
        <w:overflowPunct/>
        <w:topLinePunct w:val="0"/>
        <w:autoSpaceDE/>
        <w:autoSpaceDN/>
        <w:bidi w:val="0"/>
        <w:adjustRightInd/>
        <w:spacing w:line="560" w:lineRule="exact"/>
        <w:ind w:left="0" w:leftChars="0" w:firstLine="420" w:firstLineChars="200"/>
        <w:textAlignment w:val="auto"/>
        <w:rPr>
          <w:rFonts w:hint="eastAsia" w:ascii="新宋体" w:hAnsi="新宋体" w:eastAsia="新宋体" w:cs="新宋体"/>
          <w:color w:val="auto"/>
          <w:sz w:val="21"/>
          <w:szCs w:val="21"/>
          <w:lang w:val="en-US" w:eastAsia="zh-CN"/>
        </w:rPr>
      </w:pPr>
      <w:r>
        <w:rPr>
          <w:rFonts w:hint="eastAsia" w:ascii="新宋体" w:hAnsi="新宋体" w:eastAsia="新宋体" w:cs="新宋体"/>
          <w:i w:val="0"/>
          <w:caps w:val="0"/>
          <w:color w:val="auto"/>
          <w:spacing w:val="0"/>
          <w:sz w:val="21"/>
          <w:szCs w:val="21"/>
          <w:shd w:val="clear" w:fill="FFFFFF"/>
        </w:rPr>
        <w:t>⑥其他要求：没有法律法规规定的其他违规情形。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6" w:name="_Toc4751"/>
      <w:bookmarkStart w:id="27" w:name="_Toc2996_WPSOffice_Level2"/>
      <w:bookmarkStart w:id="28" w:name="_Toc25666_WPSOffice_Level2"/>
      <w:bookmarkStart w:id="29" w:name="_Toc525632588"/>
      <w:bookmarkStart w:id="30" w:name="_Toc29452_WPSOffice_Level2"/>
      <w:bookmarkStart w:id="31" w:name="_Toc1994"/>
      <w:bookmarkStart w:id="32" w:name="_Toc4109_WPSOffice_Level2"/>
      <w:r>
        <w:rPr>
          <w:rFonts w:hint="eastAsia" w:ascii="Times New Roman" w:hAnsi="Times New Roman" w:eastAsia="黑体" w:cs="Times New Roman"/>
          <w:bCs w:val="0"/>
          <w:color w:val="auto"/>
          <w:sz w:val="22"/>
          <w:szCs w:val="15"/>
          <w:highlight w:val="none"/>
          <w:lang w:eastAsia="zh-CN"/>
        </w:rPr>
        <w:t>询比文件</w:t>
      </w:r>
      <w:r>
        <w:rPr>
          <w:rFonts w:hint="default" w:ascii="Times New Roman" w:hAnsi="Times New Roman" w:eastAsia="黑体" w:cs="Times New Roman"/>
          <w:bCs w:val="0"/>
          <w:color w:val="auto"/>
          <w:sz w:val="22"/>
          <w:szCs w:val="15"/>
          <w:highlight w:val="none"/>
        </w:rPr>
        <w:t>的获取</w:t>
      </w:r>
      <w:bookmarkEnd w:id="26"/>
      <w:bookmarkEnd w:id="27"/>
      <w:bookmarkEnd w:id="28"/>
      <w:bookmarkEnd w:id="29"/>
      <w:bookmarkEnd w:id="30"/>
      <w:bookmarkEnd w:id="31"/>
      <w:bookmarkEnd w:id="32"/>
    </w:p>
    <w:p>
      <w:pPr>
        <w:pageBreakBefore w:val="0"/>
        <w:kinsoku/>
        <w:wordWrap/>
        <w:overflowPunct/>
        <w:topLinePunct w:val="0"/>
        <w:autoSpaceDE/>
        <w:autoSpaceDN/>
        <w:bidi w:val="0"/>
        <w:adjustRightInd/>
        <w:snapToGrid w:val="0"/>
        <w:spacing w:line="560" w:lineRule="exact"/>
        <w:ind w:firstLine="367" w:firstLineChars="175"/>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供应商应在递交响应文件的截止时间前登录安徽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lang w:val="en-US" w:eastAsia="zh-CN"/>
        </w:rPr>
        <w:t>，选择所参加的合同包</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自行下载</w:t>
      </w:r>
      <w:r>
        <w:rPr>
          <w:rFonts w:hint="eastAsia" w:ascii="Times New Roman" w:hAnsi="Times New Roman" w:cs="Times New Roman"/>
          <w:color w:val="auto"/>
          <w:sz w:val="21"/>
          <w:szCs w:val="22"/>
          <w:highlight w:val="none"/>
          <w:lang w:eastAsia="zh-CN"/>
        </w:rPr>
        <w:t>询比文件</w:t>
      </w:r>
      <w:r>
        <w:rPr>
          <w:rFonts w:hint="default" w:ascii="Times New Roman" w:hAnsi="Times New Roman" w:cs="Times New Roman"/>
          <w:color w:val="auto"/>
          <w:sz w:val="21"/>
          <w:szCs w:val="22"/>
          <w:highlight w:val="none"/>
          <w:lang w:val="en-US" w:eastAsia="zh-CN"/>
        </w:rPr>
        <w:t>及相关资料</w:t>
      </w:r>
      <w:r>
        <w:rPr>
          <w:rFonts w:hint="default" w:ascii="Times New Roman" w:hAnsi="Times New Roman" w:cs="Times New Roman"/>
          <w:color w:val="auto"/>
          <w:sz w:val="21"/>
          <w:szCs w:val="21"/>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3" w:name="_Toc726"/>
      <w:bookmarkStart w:id="34" w:name="_Toc525632589"/>
      <w:r>
        <w:rPr>
          <w:rFonts w:hint="default" w:ascii="Times New Roman" w:hAnsi="Times New Roman" w:eastAsia="黑体" w:cs="Times New Roman"/>
          <w:bCs w:val="0"/>
          <w:color w:val="auto"/>
          <w:sz w:val="22"/>
          <w:szCs w:val="15"/>
          <w:highlight w:val="none"/>
        </w:rPr>
        <w:t>响应文件的递交</w:t>
      </w:r>
      <w:bookmarkEnd w:id="33"/>
      <w:bookmarkEnd w:id="34"/>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响应文件递交的截止时间为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2021</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4</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月</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19</w:t>
      </w:r>
      <w:r>
        <w:rPr>
          <w:rFonts w:hint="default" w:ascii="Times New Roman" w:hAnsi="Times New Roman" w:cs="Times New Roman"/>
          <w:color w:val="auto"/>
          <w:sz w:val="21"/>
          <w:szCs w:val="22"/>
          <w:highlight w:val="none"/>
          <w:lang w:val="en-US" w:eastAsia="zh-CN"/>
        </w:rPr>
        <w:t>日</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时</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00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分</w:t>
      </w:r>
      <w:r>
        <w:rPr>
          <w:rFonts w:hint="default" w:ascii="Times New Roman" w:hAnsi="Times New Roman" w:cs="Times New Roman"/>
          <w:color w:val="auto"/>
          <w:sz w:val="21"/>
          <w:szCs w:val="22"/>
          <w:highlight w:val="none"/>
        </w:rPr>
        <w:t>，供应商的法定代表人或其授权代理人应于</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2021</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年</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4</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月</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19</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00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分</w:t>
      </w:r>
      <w:r>
        <w:rPr>
          <w:rFonts w:hint="eastAsia" w:ascii="Times New Roman" w:hAnsi="Times New Roman" w:cs="Times New Roman"/>
          <w:color w:val="auto"/>
          <w:szCs w:val="22"/>
          <w:highlight w:val="none"/>
          <w:lang w:val="en-US" w:eastAsia="zh-CN"/>
        </w:rPr>
        <w:t>至</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合肥市胜利路</w:t>
      </w:r>
      <w:r>
        <w:rPr>
          <w:rFonts w:hint="eastAsia" w:ascii="Times New Roman" w:hAnsi="Times New Roman" w:cs="Times New Roman"/>
          <w:color w:val="auto"/>
          <w:szCs w:val="22"/>
          <w:highlight w:val="none"/>
          <w:u w:val="single"/>
          <w:lang w:val="en-US" w:eastAsia="zh-CN"/>
        </w:rPr>
        <w:t>35号，</w:t>
      </w:r>
      <w:r>
        <w:rPr>
          <w:rFonts w:hint="eastAsia" w:ascii="Times New Roman" w:hAnsi="Times New Roman" w:cs="Times New Roman"/>
          <w:color w:val="auto"/>
          <w:szCs w:val="22"/>
          <w:highlight w:val="none"/>
          <w:u w:val="single"/>
          <w:lang w:eastAsia="zh-CN"/>
        </w:rPr>
        <w:t>交通饭店三楼</w:t>
      </w:r>
      <w:r>
        <w:rPr>
          <w:rFonts w:hint="eastAsia" w:ascii="Times New Roman" w:hAnsi="Times New Roman" w:cs="Times New Roman"/>
          <w:color w:val="auto"/>
          <w:szCs w:val="22"/>
          <w:highlight w:val="none"/>
          <w:u w:val="single"/>
          <w:lang w:val="en-US" w:eastAsia="zh-CN"/>
        </w:rPr>
        <w:t xml:space="preserve"> 汽车销售有限公司</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hint="default" w:ascii="Times New Roman" w:hAnsi="Times New Roman" w:cs="Times New Roman"/>
          <w:color w:val="auto"/>
          <w:sz w:val="21"/>
          <w:szCs w:val="22"/>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5" w:name="_Toc22719"/>
      <w:bookmarkStart w:id="36" w:name="_Toc525632591"/>
      <w:r>
        <w:rPr>
          <w:rFonts w:hint="default" w:ascii="Times New Roman" w:hAnsi="Times New Roman" w:eastAsia="黑体" w:cs="Times New Roman"/>
          <w:bCs w:val="0"/>
          <w:color w:val="auto"/>
          <w:sz w:val="22"/>
          <w:szCs w:val="15"/>
          <w:highlight w:val="none"/>
          <w:lang w:val="en-US" w:eastAsia="zh-CN"/>
        </w:rPr>
        <w:t>响应文件启封</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default" w:ascii="Times New Roman" w:hAnsi="Times New Roman" w:cs="Times New Roman"/>
          <w:color w:val="auto"/>
          <w:sz w:val="21"/>
          <w:szCs w:val="22"/>
          <w:highlight w:val="none"/>
          <w:u w:val="single"/>
          <w:lang w:val="en-US" w:eastAsia="zh-CN"/>
        </w:rPr>
        <w:t>_</w:t>
      </w:r>
      <w:r>
        <w:rPr>
          <w:rFonts w:hint="eastAsia" w:ascii="Times New Roman" w:hAnsi="Times New Roman" w:cs="Times New Roman"/>
          <w:color w:val="auto"/>
          <w:sz w:val="21"/>
          <w:szCs w:val="22"/>
          <w:highlight w:val="none"/>
          <w:u w:val="single"/>
          <w:lang w:val="en-US" w:eastAsia="zh-CN"/>
        </w:rPr>
        <w:t>交通饭店三楼会议室</w:t>
      </w:r>
      <w:r>
        <w:rPr>
          <w:rFonts w:hint="default" w:ascii="Times New Roman" w:hAnsi="Times New Roman" w:cs="Times New Roman"/>
          <w:color w:val="auto"/>
          <w:sz w:val="21"/>
          <w:szCs w:val="22"/>
          <w:highlight w:val="none"/>
          <w:u w:val="single"/>
          <w:lang w:val="en-US" w:eastAsia="zh-CN"/>
        </w:rPr>
        <w:t>_</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eastAsiaTheme="minorEastAsia"/>
          <w:color w:val="auto"/>
          <w:highlight w:val="none"/>
          <w:lang w:eastAsia="zh-CN"/>
        </w:rPr>
      </w:pPr>
      <w:r>
        <w:rPr>
          <w:rFonts w:hint="eastAsia" w:ascii="Times New Roman" w:hAnsi="Times New Roman"/>
          <w:color w:val="auto"/>
          <w:highlight w:val="none"/>
          <w:lang w:eastAsia="zh-CN"/>
        </w:rPr>
        <w:t>本项目不收取响应保证金。</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default" w:ascii="Times New Roman" w:hAnsi="Times New Roman" w:eastAsia="黑体" w:cs="Times New Roman"/>
          <w:bCs w:val="0"/>
          <w:color w:val="auto"/>
          <w:sz w:val="22"/>
          <w:szCs w:val="15"/>
          <w:highlight w:val="none"/>
        </w:rPr>
        <w:t>发布公告的媒介</w:t>
      </w:r>
      <w:bookmarkEnd w:id="35"/>
      <w:bookmarkEnd w:id="36"/>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本次采购公告在</w:t>
      </w:r>
      <w:r>
        <w:rPr>
          <w:rFonts w:hint="default" w:ascii="Times New Roman" w:hAnsi="Times New Roman" w:cs="Times New Roman"/>
          <w:color w:val="auto"/>
          <w:sz w:val="21"/>
          <w:szCs w:val="22"/>
          <w:highlight w:val="none"/>
          <w:lang w:val="en-US" w:eastAsia="zh-CN"/>
        </w:rPr>
        <w:t>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上发布。</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7" w:name="_Toc28571_WPSOffice_Level2"/>
      <w:bookmarkStart w:id="38" w:name="_Toc321_WPSOffice_Level2"/>
      <w:bookmarkStart w:id="39" w:name="_Toc20572_WPSOffice_Level2"/>
      <w:bookmarkStart w:id="40" w:name="_Toc8501"/>
      <w:bookmarkStart w:id="41" w:name="_Toc14943_WPSOffice_Level2"/>
      <w:bookmarkStart w:id="42" w:name="_Toc525632592"/>
      <w:bookmarkStart w:id="43" w:name="_Toc26829"/>
      <w:r>
        <w:rPr>
          <w:rFonts w:hint="default" w:ascii="Times New Roman" w:hAnsi="Times New Roman" w:eastAsia="黑体" w:cs="Times New Roman"/>
          <w:bCs w:val="0"/>
          <w:color w:val="auto"/>
          <w:sz w:val="22"/>
          <w:szCs w:val="15"/>
          <w:highlight w:val="none"/>
        </w:rPr>
        <w:t>采购人联系方式</w:t>
      </w:r>
      <w:bookmarkEnd w:id="37"/>
      <w:bookmarkEnd w:id="38"/>
      <w:bookmarkEnd w:id="39"/>
      <w:bookmarkEnd w:id="40"/>
      <w:bookmarkEnd w:id="41"/>
      <w:bookmarkEnd w:id="42"/>
      <w:bookmarkEnd w:id="43"/>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安徽交通集团汽车销售有限公司</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合肥市胜利路35号 交通饭店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邮政编码：</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230011</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张倩</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13956910769</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ahjyxs@163.com</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Style w:val="17"/>
        <w:jc w:val="center"/>
        <w:rPr>
          <w:rFonts w:hint="default" w:ascii="Times New Roman" w:hAnsi="Times New Roman" w:eastAsia="Fang Song"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                                          </w:t>
      </w:r>
    </w:p>
    <w:p>
      <w:pPr>
        <w:pStyle w:val="17"/>
        <w:jc w:val="right"/>
        <w:rPr>
          <w:rFonts w:hint="default" w:ascii="Times New Roman" w:hAnsi="Times New Roman" w:cs="Times New Roman"/>
          <w:color w:val="auto"/>
          <w:sz w:val="24"/>
          <w:szCs w:val="28"/>
          <w:highlight w:val="none"/>
        </w:rPr>
      </w:pP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2021</w:t>
      </w:r>
      <w:r>
        <w:rPr>
          <w:rFonts w:hint="default" w:ascii="Times New Roman" w:hAnsi="Times New Roman" w:cs="Times New Roman"/>
          <w:color w:val="auto"/>
          <w:sz w:val="21"/>
          <w:szCs w:val="22"/>
          <w:highlight w:val="none"/>
          <w:lang w:val="en-US" w:eastAsia="zh-CN"/>
        </w:rPr>
        <w:t>__</w:t>
      </w:r>
      <w:r>
        <w:rPr>
          <w:rFonts w:hint="default" w:ascii="Times New Roman" w:hAnsi="Times New Roman" w:cs="Times New Roman"/>
          <w:color w:val="auto"/>
          <w:sz w:val="21"/>
          <w:szCs w:val="22"/>
          <w:highlight w:val="none"/>
        </w:rPr>
        <w:t>年</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4</w:t>
      </w:r>
      <w:r>
        <w:rPr>
          <w:rFonts w:hint="default" w:ascii="Times New Roman" w:hAnsi="Times New Roman" w:cs="Times New Roman"/>
          <w:color w:val="auto"/>
          <w:sz w:val="21"/>
          <w:szCs w:val="22"/>
          <w:highlight w:val="none"/>
          <w:lang w:val="en-US" w:eastAsia="zh-CN"/>
        </w:rPr>
        <w:t>_</w:t>
      </w:r>
      <w:r>
        <w:rPr>
          <w:rFonts w:hint="default" w:ascii="Times New Roman" w:hAnsi="Times New Roman" w:cs="Times New Roman"/>
          <w:color w:val="auto"/>
          <w:sz w:val="21"/>
          <w:szCs w:val="22"/>
          <w:highlight w:val="none"/>
        </w:rPr>
        <w:t>月</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13</w:t>
      </w:r>
      <w:r>
        <w:rPr>
          <w:rFonts w:hint="default" w:ascii="Times New Roman" w:hAnsi="Times New Roman" w:cs="Times New Roman"/>
          <w:color w:val="auto"/>
          <w:sz w:val="21"/>
          <w:szCs w:val="22"/>
          <w:highlight w:val="none"/>
          <w:lang w:val="en-US" w:eastAsia="zh-CN"/>
        </w:rPr>
        <w:t>__</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rPr>
      </w:pPr>
      <w:r>
        <w:rPr>
          <w:rFonts w:hint="default" w:ascii="Times New Roman" w:hAnsi="Times New Roman" w:cs="Times New Roman"/>
          <w:color w:val="auto"/>
          <w:sz w:val="24"/>
          <w:szCs w:val="28"/>
          <w:highlight w:val="none"/>
        </w:rPr>
        <w:br w:type="page"/>
      </w:r>
    </w:p>
    <w:p>
      <w:pPr>
        <w:pStyle w:val="3"/>
        <w:numPr>
          <w:ilvl w:val="0"/>
          <w:numId w:val="0"/>
        </w:numPr>
        <w:spacing w:before="240" w:after="240"/>
        <w:ind w:leftChars="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第二章 </w:t>
      </w:r>
      <w:r>
        <w:rPr>
          <w:rFonts w:hint="default" w:ascii="Times New Roman" w:hAnsi="Times New Roman" w:eastAsia="宋体" w:cs="Times New Roman"/>
          <w:color w:val="auto"/>
          <w:highlight w:val="none"/>
          <w:lang w:val="en-US" w:eastAsia="zh-CN"/>
        </w:rPr>
        <w:t>供应商须知</w:t>
      </w:r>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1.1 质量要求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lang w:val="en-US" w:eastAsia="zh-CN"/>
        </w:rPr>
        <w:t>__</w:t>
      </w:r>
      <w:r>
        <w:rPr>
          <w:rFonts w:hint="eastAsia" w:ascii="Times New Roman" w:hAnsi="Times New Roman" w:cs="Times New Roman"/>
          <w:color w:val="auto"/>
          <w:szCs w:val="21"/>
          <w:highlight w:val="none"/>
          <w:u w:val="single"/>
          <w:lang w:val="en-US" w:eastAsia="zh-CN"/>
        </w:rPr>
        <w:t>符合国家标准</w:t>
      </w:r>
      <w:r>
        <w:rPr>
          <w:rFonts w:hint="eastAsia" w:ascii="Times New Roman" w:hAnsi="Times New Roman" w:cs="Times New Roman"/>
          <w:color w:val="auto"/>
          <w:szCs w:val="21"/>
          <w:highlight w:val="none"/>
          <w:lang w:val="en-US" w:eastAsia="zh-CN"/>
        </w:rPr>
        <w:t>__。</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采购邀请书第3.1款要求</w:t>
      </w:r>
      <w:r>
        <w:rPr>
          <w:rFonts w:hint="default" w:ascii="Times New Roman" w:hAnsi="Times New Roman" w:cs="Times New Roman"/>
          <w:color w:val="auto"/>
          <w:szCs w:val="21"/>
          <w:highlight w:val="none"/>
          <w:lang w:val="en-US" w:eastAsia="zh-CN"/>
        </w:rPr>
        <w:t>。</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w:t>
      </w:r>
      <w:r>
        <w:rPr>
          <w:rFonts w:hint="eastAsia" w:ascii="Times New Roman" w:hAnsi="Times New Roman" w:cs="Times New Roman"/>
          <w:color w:val="auto"/>
          <w:szCs w:val="21"/>
          <w:highlight w:val="none"/>
          <w:u w:val="single"/>
          <w:lang w:val="en-US" w:eastAsia="zh-CN"/>
        </w:rPr>
        <w:t xml:space="preserve">无 </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 xml:space="preserve">不允许分包。        </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通过递交书面质疑函</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3. </w:t>
      </w:r>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sz w:val="21"/>
          <w:szCs w:val="21"/>
          <w:highlight w:val="none"/>
          <w:lang w:val="en-US" w:eastAsia="zh-CN"/>
        </w:rPr>
        <w:t>技术性能（质量）指标描述</w:t>
      </w:r>
      <w:r>
        <w:rPr>
          <w:rFonts w:hint="eastAsia" w:ascii="Times New Roman" w:hAnsi="Times New Roman" w:cs="Times New Roman"/>
          <w:color w:val="auto"/>
          <w:highlight w:val="none"/>
          <w:lang w:val="en-US" w:eastAsia="zh-CN"/>
        </w:rPr>
        <w:t>；</w:t>
      </w:r>
    </w:p>
    <w:p>
      <w:pPr>
        <w:spacing w:line="440" w:lineRule="exact"/>
        <w:ind w:firstLine="420"/>
        <w:rPr>
          <w:rFonts w:hint="default"/>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3.2 报价</w:t>
      </w:r>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3.2.1 报价应包括国家规定的增值税税金</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供应商应提供增值税发票</w:t>
      </w:r>
      <w:r>
        <w:rPr>
          <w:rFonts w:hint="default" w:ascii="Times New Roman" w:hAnsi="Times New Roman" w:cs="Times New Roman"/>
          <w:color w:val="auto"/>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eastAsia="zh-CN"/>
        </w:rPr>
        <w:t>无</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3.3</w:t>
      </w:r>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spacing w:line="440" w:lineRule="exact"/>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3.4资格审查资料</w:t>
      </w:r>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u w:val="single"/>
          <w:lang w:val="en-US" w:eastAsia="zh-CN"/>
        </w:rPr>
        <w:t>1</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的正本与副本应分别装订。</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 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rPr>
        <w:t>4.1.1</w:t>
      </w: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正、副本</w:t>
      </w:r>
      <w:r>
        <w:rPr>
          <w:rFonts w:hint="default" w:ascii="Times New Roman" w:hAnsi="Times New Roman" w:cs="Times New Roman"/>
          <w:color w:val="auto"/>
          <w:highlight w:val="none"/>
        </w:rPr>
        <w:t>应密封包装</w:t>
      </w:r>
      <w:r>
        <w:rPr>
          <w:rFonts w:hint="eastAsia" w:ascii="Times New Roman" w:hAnsi="Times New Roman" w:cs="Times New Roman"/>
          <w:color w:val="auto"/>
          <w:highlight w:val="none"/>
          <w:lang w:val="en-US" w:eastAsia="zh-CN"/>
        </w:rPr>
        <w:t>在一个封套内</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(项目</w:t>
      </w:r>
      <w:r>
        <w:rPr>
          <w:rFonts w:hint="eastAsia" w:ascii="Times New Roman" w:hAnsi="Times New Roman" w:eastAsia="黑体" w:cs="黑体"/>
          <w:bCs w:val="0"/>
          <w:snapToGrid/>
          <w:color w:val="auto"/>
          <w:kern w:val="2"/>
          <w:szCs w:val="24"/>
          <w:highlight w:val="none"/>
          <w:u w:val="single"/>
        </w:rPr>
        <w:t>名称</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u w:val="single"/>
          <w:lang w:eastAsia="zh-CN"/>
        </w:rPr>
        <w:t>第</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ascii="Times New Roman" w:hAnsi="Times New Roman"/>
          <w:color w:val="auto"/>
          <w:highlight w:val="none"/>
        </w:rPr>
        <w:t>将予以拒收。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5. </w:t>
      </w:r>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lang w:val="en-US" w:eastAsia="zh-CN"/>
        </w:rPr>
        <w:t>响应保证金递交情况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val="en-US" w:eastAsia="zh-CN"/>
        </w:rPr>
        <w:t>启封</w:t>
      </w:r>
      <w:r>
        <w:rPr>
          <w:rFonts w:ascii="Times New Roman" w:hAnsi="Times New Roman"/>
          <w:color w:val="auto"/>
          <w:highlight w:val="none"/>
        </w:rPr>
        <w:t>记录上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44" w:name="_Toc9067725"/>
      <w:bookmarkStart w:id="45" w:name="_Toc14201241"/>
      <w:bookmarkStart w:id="46" w:name="_Toc26656972"/>
      <w:r>
        <w:rPr>
          <w:rFonts w:hint="default" w:ascii="Times New Roman" w:hAnsi="Times New Roman" w:eastAsia="黑体" w:cs="Times New Roman"/>
          <w:bCs/>
          <w:color w:val="auto"/>
          <w:sz w:val="24"/>
          <w:szCs w:val="32"/>
          <w:highlight w:val="none"/>
        </w:rPr>
        <w:t>6. 评</w:t>
      </w:r>
      <w:bookmarkEnd w:id="44"/>
      <w:bookmarkEnd w:id="45"/>
      <w:bookmarkEnd w:id="46"/>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7" w:name="_Toc14201242"/>
      <w:bookmarkStart w:id="48" w:name="_Toc26656973"/>
      <w:r>
        <w:rPr>
          <w:rFonts w:hint="default" w:ascii="Times New Roman" w:hAnsi="Times New Roman" w:eastAsia="黑体" w:cs="Times New Roman"/>
          <w:bCs/>
          <w:color w:val="auto"/>
          <w:sz w:val="24"/>
          <w:szCs w:val="32"/>
          <w:highlight w:val="none"/>
        </w:rPr>
        <w:t>6.1</w:t>
      </w:r>
      <w:bookmarkEnd w:id="47"/>
      <w:bookmarkEnd w:id="48"/>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9" w:name="_Toc14201244"/>
      <w:bookmarkStart w:id="50" w:name="_Toc26656975"/>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49"/>
      <w:bookmarkEnd w:id="50"/>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1" w:name="_Toc26656976"/>
      <w:bookmarkStart w:id="52" w:name="_Toc9067726"/>
      <w:bookmarkStart w:id="53" w:name="_Toc14201245"/>
      <w:r>
        <w:rPr>
          <w:rFonts w:hint="default" w:ascii="Times New Roman" w:hAnsi="Times New Roman" w:eastAsia="黑体" w:cs="Times New Roman"/>
          <w:bCs/>
          <w:color w:val="auto"/>
          <w:sz w:val="24"/>
          <w:szCs w:val="32"/>
          <w:highlight w:val="none"/>
        </w:rPr>
        <w:t>7. 合同授予</w:t>
      </w:r>
      <w:bookmarkEnd w:id="51"/>
      <w:bookmarkEnd w:id="52"/>
      <w:bookmarkEnd w:id="53"/>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4" w:name="_Toc14201246"/>
      <w:bookmarkStart w:id="55" w:name="_Toc26656977"/>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54"/>
      <w:bookmarkEnd w:id="55"/>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6" w:name="_Toc14201247"/>
      <w:bookmarkStart w:id="57" w:name="_Toc26656978"/>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56"/>
      <w:bookmarkEnd w:id="5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8" w:name="_Toc26656979"/>
      <w:bookmarkStart w:id="59" w:name="_Toc14201248"/>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58"/>
      <w:bookmarkEnd w:id="5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0" w:name="_Toc26656984"/>
      <w:bookmarkStart w:id="61" w:name="_Toc14201253"/>
      <w:r>
        <w:rPr>
          <w:rFonts w:hint="default" w:ascii="Times New Roman" w:hAnsi="Times New Roman" w:eastAsia="黑体" w:cs="Times New Roman"/>
          <w:bCs/>
          <w:color w:val="auto"/>
          <w:sz w:val="24"/>
          <w:szCs w:val="32"/>
          <w:highlight w:val="none"/>
        </w:rPr>
        <w:t>7.</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签订合同</w:t>
      </w:r>
      <w:bookmarkEnd w:id="60"/>
      <w:bookmarkEnd w:id="61"/>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提出附加条件，或不按照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要求提交履约保证金的，</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资格，其</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不予退还；给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造成的损失超过</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数额的，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还应对超过部分予以赔偿。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2" w:name="_Toc9067727"/>
      <w:bookmarkStart w:id="63" w:name="_Toc26656988"/>
      <w:bookmarkStart w:id="64" w:name="_Toc14201257"/>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62"/>
      <w:bookmarkEnd w:id="63"/>
      <w:bookmarkEnd w:id="6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5" w:name="_Toc26656993"/>
      <w:bookmarkStart w:id="66" w:name="_Toc14201262"/>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65"/>
      <w:bookmarkEnd w:id="6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7" w:name="_Toc14201263"/>
      <w:bookmarkStart w:id="68" w:name="_Toc9067731"/>
      <w:bookmarkStart w:id="69" w:name="_Toc26656994"/>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67"/>
      <w:bookmarkEnd w:id="68"/>
      <w:bookmarkEnd w:id="6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_____________________。</w:t>
      </w:r>
    </w:p>
    <w:p>
      <w:pPr>
        <w:pStyle w:val="17"/>
        <w:jc w:val="right"/>
        <w:rPr>
          <w:rFonts w:hint="default" w:ascii="Times New Roman" w:hAnsi="Times New Roman" w:cs="Times New Roman"/>
          <w:color w:val="auto"/>
          <w:sz w:val="21"/>
          <w:szCs w:val="22"/>
          <w:highlight w:val="none"/>
        </w:rPr>
      </w:pPr>
    </w:p>
    <w:p>
      <w:pPr>
        <w:pStyle w:val="17"/>
        <w:jc w:val="right"/>
        <w:rPr>
          <w:rFonts w:hint="default" w:ascii="Times New Roman" w:hAnsi="Times New Roman" w:cs="Times New Roman"/>
          <w:color w:val="auto"/>
          <w:sz w:val="24"/>
          <w:szCs w:val="28"/>
          <w:highlight w:val="none"/>
        </w:rPr>
      </w:pPr>
    </w:p>
    <w:p>
      <w:r>
        <w:rPr>
          <w:rFonts w:hint="default" w:ascii="Times New Roman" w:hAnsi="Times New Roman" w:cs="Times New Roman"/>
          <w:color w:val="auto"/>
          <w:sz w:val="24"/>
          <w:szCs w:val="28"/>
          <w:highlight w:val="none"/>
        </w:rPr>
        <w:br w:type="page"/>
      </w:r>
    </w:p>
    <w:p>
      <w:pPr>
        <w:pStyle w:val="3"/>
        <w:numPr>
          <w:ilvl w:val="0"/>
          <w:numId w:val="0"/>
        </w:numPr>
        <w:spacing w:before="240" w:after="240"/>
        <w:ind w:leftChars="0"/>
        <w:jc w:val="center"/>
        <w:rPr>
          <w:rFonts w:hint="default" w:ascii="Times New Roman" w:hAnsi="Times New Roman" w:eastAsia="宋体" w:cs="Times New Roman"/>
          <w:color w:val="auto"/>
          <w:highlight w:val="none"/>
        </w:rPr>
      </w:pPr>
      <w:bookmarkStart w:id="70" w:name="_Toc18182_WPSOffice_Level1"/>
      <w:r>
        <w:rPr>
          <w:rFonts w:hint="eastAsia" w:ascii="Times New Roman" w:hAnsi="Times New Roman" w:eastAsia="宋体" w:cs="Times New Roman"/>
          <w:color w:val="auto"/>
          <w:highlight w:val="none"/>
          <w:lang w:val="en-US" w:eastAsia="zh-CN"/>
        </w:rPr>
        <w:t xml:space="preserve">第三章 </w:t>
      </w:r>
      <w:r>
        <w:rPr>
          <w:rFonts w:hint="default" w:ascii="Times New Roman" w:hAnsi="Times New Roman" w:eastAsia="宋体" w:cs="Times New Roman"/>
          <w:color w:val="auto"/>
          <w:highlight w:val="none"/>
          <w:lang w:val="en-US" w:eastAsia="zh-CN"/>
        </w:rPr>
        <w:t>评审办法</w:t>
      </w:r>
      <w:bookmarkEnd w:id="70"/>
    </w:p>
    <w:p>
      <w:pPr>
        <w:rPr>
          <w:rFonts w:hint="default" w:ascii="Times New Roman" w:hAnsi="Times New Roman" w:eastAsia="宋体" w:cs="Times New Roman"/>
          <w:color w:val="auto"/>
          <w:highlight w:val="none"/>
          <w:lang w:val="en-US" w:eastAsia="zh-CN"/>
        </w:rPr>
      </w:pP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t>□</w:t>
            </w:r>
            <w:r>
              <w:rPr>
                <w:rFonts w:hint="eastAsia"/>
                <w:color w:val="auto"/>
                <w:highlight w:val="none"/>
                <w:lang w:val="en-US" w:eastAsia="zh-CN"/>
              </w:rPr>
              <w:t>评审价相等时，以递交响应文件在前的优先。</w:t>
            </w:r>
          </w:p>
          <w:p>
            <w:pPr>
              <w:pStyle w:val="2"/>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w:t>
            </w:r>
            <w:r>
              <w:rPr>
                <w:rFonts w:hint="default" w:ascii="Times New Roman" w:hAnsi="Times New Roman" w:cs="Times New Roman"/>
                <w:color w:val="auto"/>
                <w:kern w:val="0"/>
                <w:szCs w:val="21"/>
                <w:highlight w:val="none"/>
                <w:lang w:val="en-US" w:eastAsia="zh-CN"/>
              </w:rPr>
              <w:t>六</w:t>
            </w:r>
            <w:r>
              <w:rPr>
                <w:rFonts w:hint="default" w:ascii="Times New Roman" w:hAnsi="Times New Roman" w:cs="Times New Roman"/>
                <w:color w:val="auto"/>
                <w:kern w:val="0"/>
                <w:szCs w:val="21"/>
                <w:highlight w:val="none"/>
              </w:rPr>
              <w:t>章“</w:t>
            </w: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签名</w:t>
            </w:r>
            <w:r>
              <w:rPr>
                <w:rFonts w:hint="default" w:ascii="Times New Roman" w:hAnsi="Times New Roman" w:cs="Times New Roman"/>
                <w:color w:val="auto"/>
                <w:kern w:val="0"/>
                <w:szCs w:val="21"/>
                <w:highlight w:val="none"/>
              </w:rPr>
              <w:t>盖章</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符合第二章“</w:t>
            </w:r>
            <w:r>
              <w:rPr>
                <w:rFonts w:hint="default" w:ascii="Times New Roman" w:hAnsi="Times New Roman" w:cs="Times New Roman"/>
                <w:bCs/>
                <w:color w:val="auto"/>
                <w:kern w:val="0"/>
                <w:szCs w:val="21"/>
                <w:highlight w:val="none"/>
                <w:lang w:eastAsia="zh-CN"/>
              </w:rPr>
              <w:t>供应商</w:t>
            </w:r>
            <w:r>
              <w:rPr>
                <w:rFonts w:hint="default" w:ascii="Times New Roman" w:hAnsi="Times New Roman" w:cs="Times New Roman"/>
                <w:bCs/>
                <w:color w:val="auto"/>
                <w:kern w:val="0"/>
                <w:szCs w:val="21"/>
                <w:highlight w:val="none"/>
              </w:rPr>
              <w:t>须知”第3</w:t>
            </w:r>
            <w:r>
              <w:rPr>
                <w:rFonts w:hint="eastAsia" w:ascii="Times New Roman" w:hAnsi="Times New Roman" w:cs="Times New Roman"/>
                <w:bCs/>
                <w:color w:val="auto"/>
                <w:kern w:val="0"/>
                <w:szCs w:val="21"/>
                <w:highlight w:val="none"/>
                <w:lang w:val="en-US" w:eastAsia="zh-CN"/>
              </w:rPr>
              <w:t>.5</w:t>
            </w:r>
            <w:r>
              <w:rPr>
                <w:rFonts w:hint="default" w:ascii="Times New Roman" w:hAnsi="Times New Roman" w:cs="Times New Roman"/>
                <w:bCs/>
                <w:color w:val="auto"/>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11"/>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color w:val="auto"/>
          <w:sz w:val="29"/>
          <w:szCs w:val="29"/>
          <w:highlight w:val="none"/>
        </w:rPr>
        <w:br w:type="page"/>
      </w: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lang w:val="en-US" w:eastAsia="zh-CN"/>
        </w:rPr>
        <w:t>完成评审后，应当向采购人提交评审报告。评审报告应当如实记载以下内容：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71" w:name="_Toc218_WPSOffice_Level2"/>
      <w:bookmarkStart w:id="72" w:name="_Toc12245_WPSOffice_Level2"/>
      <w:bookmarkStart w:id="73" w:name="_Toc21524_WPSOffice_Level2"/>
      <w:r>
        <w:rPr>
          <w:rFonts w:hint="default" w:ascii="Times New Roman" w:hAnsi="Times New Roman" w:cs="Times New Roman"/>
          <w:color w:val="auto"/>
          <w:highlight w:val="none"/>
          <w:lang w:val="en-US" w:eastAsia="zh-CN"/>
        </w:rPr>
        <w:t>（一）采购项目基本情况</w:t>
      </w:r>
      <w:bookmarkEnd w:id="71"/>
      <w:bookmarkEnd w:id="72"/>
      <w:bookmarkEnd w:id="73"/>
    </w:p>
    <w:p>
      <w:pPr>
        <w:spacing w:line="440" w:lineRule="exact"/>
        <w:ind w:firstLine="420"/>
        <w:rPr>
          <w:rFonts w:hint="default" w:ascii="Times New Roman" w:hAnsi="Times New Roman" w:cs="Times New Roman"/>
          <w:color w:val="auto"/>
          <w:highlight w:val="none"/>
          <w:lang w:val="en-US" w:eastAsia="zh-CN"/>
        </w:rPr>
      </w:pPr>
      <w:bookmarkStart w:id="74" w:name="_Toc5856_WPSOffice_Level2"/>
      <w:bookmarkStart w:id="75" w:name="_Toc8414_WPSOffice_Level2"/>
      <w:bookmarkStart w:id="76" w:name="_Toc31322_WPSOffice_Level2"/>
      <w:r>
        <w:rPr>
          <w:rFonts w:hint="default" w:ascii="Times New Roman" w:hAnsi="Times New Roman" w:cs="Times New Roman"/>
          <w:color w:val="auto"/>
          <w:highlight w:val="none"/>
          <w:lang w:val="en-US" w:eastAsia="zh-CN"/>
        </w:rPr>
        <w:t>（二）采购过程回顾</w:t>
      </w:r>
      <w:bookmarkEnd w:id="74"/>
      <w:bookmarkEnd w:id="75"/>
      <w:bookmarkEnd w:id="76"/>
    </w:p>
    <w:p>
      <w:pPr>
        <w:spacing w:line="440" w:lineRule="exact"/>
        <w:ind w:firstLine="420"/>
        <w:rPr>
          <w:rFonts w:hint="default" w:ascii="Times New Roman" w:hAnsi="Times New Roman" w:cs="Times New Roman"/>
          <w:color w:val="auto"/>
          <w:highlight w:val="none"/>
          <w:lang w:val="en-US" w:eastAsia="zh-CN"/>
        </w:rPr>
      </w:pPr>
      <w:bookmarkStart w:id="77" w:name="_Toc1346_WPSOffice_Level2"/>
      <w:bookmarkStart w:id="78" w:name="_Toc15620_WPSOffice_Level2"/>
      <w:bookmarkStart w:id="79" w:name="_Toc2932_WPSOffice_Level2"/>
      <w:r>
        <w:rPr>
          <w:rFonts w:hint="default" w:ascii="Times New Roman" w:hAnsi="Times New Roman" w:cs="Times New Roman"/>
          <w:color w:val="auto"/>
          <w:highlight w:val="none"/>
          <w:lang w:val="en-US" w:eastAsia="zh-CN"/>
        </w:rPr>
        <w:t>（三）评审小组成员名单</w:t>
      </w:r>
      <w:bookmarkEnd w:id="77"/>
      <w:bookmarkEnd w:id="78"/>
      <w:bookmarkEnd w:id="79"/>
    </w:p>
    <w:p>
      <w:pPr>
        <w:spacing w:line="440" w:lineRule="exact"/>
        <w:ind w:firstLine="420"/>
        <w:rPr>
          <w:rFonts w:hint="default" w:ascii="Times New Roman" w:hAnsi="Times New Roman" w:cs="Times New Roman"/>
          <w:color w:val="auto"/>
          <w:highlight w:val="none"/>
          <w:lang w:val="en-US" w:eastAsia="zh-CN"/>
        </w:rPr>
      </w:pPr>
      <w:bookmarkStart w:id="80" w:name="_Toc32316_WPSOffice_Level2"/>
      <w:bookmarkStart w:id="81" w:name="_Toc14207_WPSOffice_Level2"/>
      <w:bookmarkStart w:id="82" w:name="_Toc14464_WPSOffice_Level2"/>
      <w:r>
        <w:rPr>
          <w:rFonts w:hint="default" w:ascii="Times New Roman" w:hAnsi="Times New Roman" w:cs="Times New Roman"/>
          <w:color w:val="auto"/>
          <w:highlight w:val="none"/>
          <w:lang w:val="en-US" w:eastAsia="zh-CN"/>
        </w:rPr>
        <w:t>（四）询比评审工作</w:t>
      </w:r>
      <w:bookmarkEnd w:id="80"/>
      <w:bookmarkEnd w:id="81"/>
      <w:bookmarkEnd w:id="82"/>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83" w:name="_Toc5114_WPSOffice_Level2"/>
      <w:bookmarkStart w:id="84" w:name="_Toc3913_WPSOffice_Level2"/>
      <w:bookmarkStart w:id="85" w:name="_Toc13397_WPSOffice_Level2"/>
      <w:r>
        <w:rPr>
          <w:rFonts w:hint="default" w:ascii="Times New Roman" w:hAnsi="Times New Roman" w:cs="Times New Roman"/>
          <w:color w:val="auto"/>
          <w:highlight w:val="none"/>
          <w:lang w:val="en-US" w:eastAsia="zh-CN"/>
        </w:rPr>
        <w:t>（五）需要说明的其他事项</w:t>
      </w:r>
      <w:bookmarkEnd w:id="83"/>
      <w:bookmarkEnd w:id="84"/>
      <w:bookmarkEnd w:id="85"/>
    </w:p>
    <w:p>
      <w:pPr>
        <w:spacing w:line="440" w:lineRule="exact"/>
        <w:ind w:firstLine="420"/>
        <w:rPr>
          <w:rFonts w:hint="default" w:ascii="Times New Roman" w:hAnsi="Times New Roman" w:cs="Times New Roman"/>
          <w:color w:val="auto"/>
          <w:highlight w:val="none"/>
          <w:lang w:val="en-US" w:eastAsia="zh-CN"/>
        </w:rPr>
      </w:pPr>
      <w:bookmarkStart w:id="86" w:name="_Toc23800_WPSOffice_Level2"/>
      <w:bookmarkStart w:id="87" w:name="_Toc3031_WPSOffice_Level2"/>
      <w:bookmarkStart w:id="88" w:name="_Toc8934_WPSOffice_Level2"/>
      <w:r>
        <w:rPr>
          <w:rFonts w:hint="default" w:ascii="Times New Roman" w:hAnsi="Times New Roman" w:cs="Times New Roman"/>
          <w:color w:val="auto"/>
          <w:highlight w:val="none"/>
          <w:lang w:val="en-US" w:eastAsia="zh-CN"/>
        </w:rPr>
        <w:t>（六）评审附表</w:t>
      </w:r>
      <w:bookmarkEnd w:id="86"/>
      <w:bookmarkEnd w:id="87"/>
      <w:bookmarkEnd w:id="88"/>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1、响应文件开启记录表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240" w:lineRule="auto"/>
        <w:ind w:firstLine="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3"/>
        <w:numPr>
          <w:ilvl w:val="0"/>
          <w:numId w:val="0"/>
        </w:numPr>
        <w:spacing w:before="240" w:after="240"/>
        <w:ind w:leftChars="0"/>
        <w:jc w:val="center"/>
        <w:rPr>
          <w:rFonts w:hint="default" w:ascii="Times New Roman" w:hAnsi="Times New Roman" w:eastAsia="宋体" w:cs="Times New Roman"/>
          <w:color w:val="auto"/>
          <w:highlight w:val="none"/>
        </w:rPr>
      </w:pPr>
      <w:bookmarkStart w:id="89" w:name="_Toc10990_WPSOffice_Level1"/>
      <w:r>
        <w:rPr>
          <w:rFonts w:hint="eastAsia" w:ascii="Times New Roman" w:hAnsi="Times New Roman" w:eastAsia="宋体" w:cs="Times New Roman"/>
          <w:color w:val="auto"/>
          <w:highlight w:val="none"/>
          <w:lang w:val="en-US" w:eastAsia="zh-CN"/>
        </w:rPr>
        <w:t xml:space="preserve">第四章 </w:t>
      </w:r>
      <w:r>
        <w:rPr>
          <w:rFonts w:hint="default" w:ascii="Times New Roman" w:hAnsi="Times New Roman" w:eastAsia="宋体" w:cs="Times New Roman"/>
          <w:color w:val="auto"/>
          <w:highlight w:val="none"/>
          <w:lang w:val="en-US" w:eastAsia="zh-CN"/>
        </w:rPr>
        <w:t>合同内容</w:t>
      </w:r>
      <w:bookmarkEnd w:id="89"/>
    </w:p>
    <w:p>
      <w:pPr>
        <w:ind w:firstLine="3200" w:firstLineChars="1000"/>
        <w:jc w:val="both"/>
        <w:rPr>
          <w:rFonts w:hint="default" w:ascii="Times New Roman" w:hAnsi="Times New Roman" w:eastAsia="黑体" w:cs="Times New Roman"/>
          <w:color w:val="auto"/>
          <w:sz w:val="32"/>
          <w:szCs w:val="32"/>
          <w:highlight w:val="none"/>
          <w:lang w:val="en-US" w:eastAsia="zh-CN"/>
        </w:rPr>
      </w:pPr>
      <w:bookmarkStart w:id="90" w:name="_bookmark259"/>
      <w:bookmarkEnd w:id="90"/>
      <w:bookmarkStart w:id="91" w:name="_Toc501460622"/>
      <w:r>
        <w:rPr>
          <w:rFonts w:hint="eastAsia" w:ascii="Times New Roman" w:hAnsi="Times New Roman" w:eastAsia="黑体" w:cs="Times New Roman"/>
          <w:color w:val="auto"/>
          <w:sz w:val="32"/>
          <w:szCs w:val="32"/>
          <w:highlight w:val="none"/>
          <w:lang w:val="en-US" w:eastAsia="zh-CN"/>
        </w:rPr>
        <w:t>货物采购</w:t>
      </w:r>
      <w:r>
        <w:rPr>
          <w:rFonts w:hint="default" w:ascii="Times New Roman" w:hAnsi="Times New Roman" w:eastAsia="黑体" w:cs="Times New Roman"/>
          <w:color w:val="auto"/>
          <w:sz w:val="32"/>
          <w:szCs w:val="32"/>
          <w:highlight w:val="none"/>
          <w:lang w:val="en-US" w:eastAsia="zh-CN"/>
        </w:rPr>
        <w:t>类</w:t>
      </w:r>
      <w:r>
        <w:rPr>
          <w:rFonts w:hint="default" w:ascii="Times New Roman" w:hAnsi="Times New Roman" w:eastAsia="黑体" w:cs="Times New Roman"/>
          <w:color w:val="auto"/>
          <w:sz w:val="32"/>
          <w:szCs w:val="32"/>
          <w:highlight w:val="none"/>
        </w:rPr>
        <w:t>合同</w:t>
      </w:r>
    </w:p>
    <w:p>
      <w:pPr>
        <w:spacing w:line="360" w:lineRule="auto"/>
        <w:rPr>
          <w:rFonts w:hint="default" w:ascii="Times New Roman" w:hAnsi="Times New Roman" w:cs="Times New Roman"/>
          <w:color w:val="auto"/>
          <w:sz w:val="24"/>
          <w:szCs w:val="24"/>
          <w:highlight w:val="none"/>
        </w:rPr>
      </w:pP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w:t>
      </w: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w:t>
      </w:r>
    </w:p>
    <w:p>
      <w:pPr>
        <w:spacing w:line="360" w:lineRule="auto"/>
        <w:rPr>
          <w:rFonts w:hint="default" w:ascii="Times New Roman" w:hAnsi="Times New Roman" w:cs="Times New Roman"/>
          <w:color w:val="auto"/>
          <w:sz w:val="21"/>
          <w:szCs w:val="21"/>
          <w:highlight w:val="none"/>
        </w:rPr>
      </w:pP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根据《中华人民共和国</w:t>
      </w:r>
      <w:r>
        <w:rPr>
          <w:rFonts w:hint="default" w:ascii="Times New Roman" w:hAnsi="Times New Roman" w:cs="Times New Roman"/>
          <w:color w:val="auto"/>
          <w:sz w:val="21"/>
          <w:szCs w:val="21"/>
          <w:highlight w:val="none"/>
          <w:lang w:val="en-US" w:eastAsia="zh-CN"/>
        </w:rPr>
        <w:t>民法典</w:t>
      </w:r>
      <w:r>
        <w:rPr>
          <w:rFonts w:hint="default" w:ascii="Times New Roman" w:hAnsi="Times New Roman" w:cs="Times New Roman"/>
          <w:color w:val="auto"/>
          <w:sz w:val="21"/>
          <w:szCs w:val="21"/>
          <w:highlight w:val="none"/>
        </w:rPr>
        <w:t>》及相关法律法规的规定，甲乙双方在平等、自愿、公平、协商一致的基础上，就甲方委托乙方提供</w:t>
      </w:r>
      <w:r>
        <w:rPr>
          <w:rFonts w:hint="eastAsia" w:ascii="Times New Roman" w:hAnsi="Times New Roman" w:cs="Times New Roman"/>
          <w:color w:val="auto"/>
          <w:sz w:val="21"/>
          <w:szCs w:val="21"/>
          <w:highlight w:val="none"/>
          <w:u w:val="single"/>
          <w:lang w:val="en-US" w:eastAsia="zh-CN"/>
        </w:rPr>
        <w:t xml:space="preserve">  车辆  </w:t>
      </w:r>
      <w:r>
        <w:rPr>
          <w:rFonts w:hint="eastAsia" w:ascii="Times New Roman" w:hAnsi="Times New Roman" w:cs="Times New Roman"/>
          <w:color w:val="auto"/>
          <w:sz w:val="21"/>
          <w:szCs w:val="21"/>
          <w:highlight w:val="none"/>
          <w:lang w:val="en-US" w:eastAsia="zh-CN"/>
        </w:rPr>
        <w:t>供货服务</w:t>
      </w:r>
      <w:r>
        <w:rPr>
          <w:rFonts w:hint="default" w:ascii="Times New Roman" w:hAnsi="Times New Roman" w:cs="Times New Roman"/>
          <w:color w:val="auto"/>
          <w:sz w:val="21"/>
          <w:szCs w:val="21"/>
          <w:highlight w:val="none"/>
        </w:rPr>
        <w:t>的有关事宜达成如下协议：</w:t>
      </w:r>
    </w:p>
    <w:p>
      <w:pPr>
        <w:spacing w:line="360" w:lineRule="auto"/>
        <w:ind w:firstLine="422"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en-US" w:eastAsia="zh-CN"/>
        </w:rPr>
        <w:t>1.</w:t>
      </w:r>
      <w:r>
        <w:rPr>
          <w:rFonts w:hint="eastAsia" w:ascii="Times New Roman" w:hAnsi="Times New Roman" w:cs="Times New Roman"/>
          <w:b/>
          <w:bCs/>
          <w:color w:val="auto"/>
          <w:sz w:val="21"/>
          <w:szCs w:val="21"/>
          <w:highlight w:val="none"/>
          <w:lang w:val="en-US" w:eastAsia="zh-CN"/>
        </w:rPr>
        <w:t>货物采购</w:t>
      </w:r>
      <w:r>
        <w:rPr>
          <w:rFonts w:hint="default" w:ascii="Times New Roman" w:hAnsi="Times New Roman" w:cs="Times New Roman"/>
          <w:b/>
          <w:bCs/>
          <w:color w:val="auto"/>
          <w:sz w:val="21"/>
          <w:szCs w:val="21"/>
          <w:highlight w:val="none"/>
        </w:rPr>
        <w:t>内容</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w:t>
      </w:r>
      <w:r>
        <w:rPr>
          <w:rFonts w:hint="default" w:ascii="Times New Roman" w:hAnsi="Times New Roman" w:cs="Times New Roman"/>
          <w:color w:val="auto"/>
          <w:sz w:val="21"/>
          <w:szCs w:val="21"/>
          <w:highlight w:val="none"/>
        </w:rPr>
        <w:t>甲方委托乙方提供</w:t>
      </w:r>
      <w:bookmarkEnd w:id="91"/>
      <w:r>
        <w:rPr>
          <w:rFonts w:hint="eastAsia" w:ascii="Times New Roman" w:hAnsi="Times New Roman" w:cs="Times New Roman"/>
          <w:color w:val="auto"/>
          <w:sz w:val="21"/>
          <w:szCs w:val="21"/>
          <w:highlight w:val="none"/>
          <w:lang w:val="en-US" w:eastAsia="zh-CN"/>
        </w:rPr>
        <w:t>的货物类别、品牌型号、数量和价格如下表</w:t>
      </w:r>
      <w:r>
        <w:rPr>
          <w:rFonts w:hint="default" w:ascii="Times New Roman" w:hAnsi="Times New Roman" w:cs="Times New Roman"/>
          <w:color w:val="auto"/>
          <w:sz w:val="21"/>
          <w:szCs w:val="21"/>
          <w:highlight w:val="none"/>
        </w:rPr>
        <w:t>。</w:t>
      </w:r>
    </w:p>
    <w:tbl>
      <w:tblPr>
        <w:tblStyle w:val="1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序号</w:t>
            </w:r>
          </w:p>
        </w:tc>
        <w:tc>
          <w:tcPr>
            <w:tcW w:w="2037" w:type="dxa"/>
            <w:vAlign w:val="center"/>
          </w:tcPr>
          <w:p>
            <w:pPr>
              <w:spacing w:line="36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货物名称</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品牌型号</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数量</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单价</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1</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2</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3</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4</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5</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bl>
    <w:p>
      <w:pPr>
        <w:spacing w:line="360" w:lineRule="auto"/>
        <w:ind w:firstLine="420" w:firstLineChars="20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1.2上述费用包括货物的原材料、生产、包装、</w:t>
      </w:r>
      <w:r>
        <w:rPr>
          <w:rFonts w:hint="default" w:ascii="Times New Roman" w:hAnsi="Times New Roman" w:cs="Times New Roman"/>
          <w:color w:val="auto"/>
          <w:sz w:val="21"/>
          <w:szCs w:val="21"/>
          <w:highlight w:val="none"/>
        </w:rPr>
        <w:t>运输</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保险、安装</w:t>
      </w:r>
      <w:r>
        <w:rPr>
          <w:rFonts w:hint="default" w:ascii="Times New Roman" w:hAnsi="Times New Roman" w:cs="Times New Roman"/>
          <w:color w:val="auto"/>
          <w:sz w:val="21"/>
          <w:szCs w:val="21"/>
          <w:highlight w:val="none"/>
        </w:rPr>
        <w:t>调试试运行</w:t>
      </w:r>
      <w:r>
        <w:rPr>
          <w:rFonts w:hint="eastAsia" w:ascii="Times New Roman" w:hAnsi="Times New Roman" w:cs="Times New Roman"/>
          <w:color w:val="auto"/>
          <w:sz w:val="21"/>
          <w:szCs w:val="21"/>
          <w:highlight w:val="none"/>
          <w:lang w:val="en-US" w:eastAsia="zh-CN"/>
        </w:rPr>
        <w:t>及所需的附属材料（如需）</w:t>
      </w:r>
      <w:r>
        <w:rPr>
          <w:rFonts w:hint="default" w:ascii="Times New Roman" w:hAnsi="Times New Roman" w:cs="Times New Roman"/>
          <w:color w:val="auto"/>
          <w:sz w:val="21"/>
          <w:szCs w:val="21"/>
          <w:highlight w:val="none"/>
        </w:rPr>
        <w:t>、报检验收</w:t>
      </w:r>
      <w:r>
        <w:rPr>
          <w:rFonts w:hint="eastAsia" w:ascii="Times New Roman" w:hAnsi="Times New Roman" w:cs="Times New Roman"/>
          <w:color w:val="auto"/>
          <w:sz w:val="21"/>
          <w:szCs w:val="21"/>
          <w:highlight w:val="none"/>
          <w:lang w:val="en-US" w:eastAsia="zh-CN"/>
        </w:rPr>
        <w:t>、利润、税费等</w:t>
      </w:r>
      <w:r>
        <w:rPr>
          <w:rFonts w:hint="default" w:ascii="Times New Roman" w:hAnsi="Times New Roman" w:cs="Times New Roman"/>
          <w:color w:val="auto"/>
          <w:sz w:val="21"/>
          <w:szCs w:val="21"/>
          <w:highlight w:val="none"/>
        </w:rPr>
        <w:t>一切相关费用。</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2.</w:t>
      </w:r>
      <w:r>
        <w:rPr>
          <w:rFonts w:hint="default" w:ascii="Times New Roman" w:hAnsi="Times New Roman" w:cs="Times New Roman"/>
          <w:b/>
          <w:color w:val="auto"/>
          <w:sz w:val="21"/>
          <w:szCs w:val="21"/>
          <w:highlight w:val="none"/>
        </w:rPr>
        <w:t>质量要求</w:t>
      </w:r>
    </w:p>
    <w:p>
      <w:pPr>
        <w:spacing w:line="360" w:lineRule="auto"/>
        <w:ind w:firstLine="420" w:firstLineChars="200"/>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乙方应保证所供货物的技术指标符合国家有关标准及</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承担三包责任</w:t>
      </w:r>
      <w:r>
        <w:rPr>
          <w:rFonts w:hint="eastAsia" w:ascii="Times New Roman" w:hAnsi="Times New Roman" w:cs="Times New Roman"/>
          <w:color w:val="auto"/>
          <w:sz w:val="21"/>
          <w:szCs w:val="21"/>
          <w:highlight w:val="none"/>
          <w:lang w:eastAsia="zh-CN"/>
        </w:rPr>
        <w:t>。</w:t>
      </w:r>
    </w:p>
    <w:p>
      <w:pPr>
        <w:spacing w:line="360" w:lineRule="auto"/>
        <w:ind w:firstLine="422" w:firstLineChars="200"/>
        <w:rPr>
          <w:rFonts w:hint="eastAsia" w:ascii="Times New Roman" w:hAnsi="Times New Roman"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3.</w:t>
      </w:r>
      <w:r>
        <w:rPr>
          <w:rFonts w:hint="default" w:ascii="Times New Roman" w:hAnsi="Times New Roman" w:cs="Times New Roman"/>
          <w:b/>
          <w:color w:val="auto"/>
          <w:sz w:val="21"/>
          <w:szCs w:val="21"/>
          <w:highlight w:val="none"/>
          <w:lang w:val="en-US"/>
        </w:rPr>
        <w:t>保修</w:t>
      </w:r>
      <w:r>
        <w:rPr>
          <w:rFonts w:hint="default" w:ascii="Times New Roman" w:hAnsi="Times New Roman" w:cs="Times New Roman"/>
          <w:b/>
          <w:color w:val="auto"/>
          <w:sz w:val="21"/>
          <w:szCs w:val="21"/>
          <w:highlight w:val="none"/>
        </w:rPr>
        <w:t>期限</w:t>
      </w:r>
    </w:p>
    <w:p>
      <w:pPr>
        <w:spacing w:line="360" w:lineRule="auto"/>
        <w:ind w:firstLine="420" w:firstLineChars="20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乙方所供货物的</w:t>
      </w:r>
      <w:r>
        <w:rPr>
          <w:rFonts w:hint="default" w:ascii="Times New Roman" w:hAnsi="Times New Roman" w:cs="Times New Roman"/>
          <w:color w:val="auto"/>
          <w:sz w:val="21"/>
          <w:szCs w:val="21"/>
          <w:highlight w:val="none"/>
          <w:lang w:val="en-US"/>
        </w:rPr>
        <w:t>保修</w:t>
      </w:r>
      <w:r>
        <w:rPr>
          <w:rFonts w:hint="default" w:ascii="Times New Roman" w:hAnsi="Times New Roman" w:cs="Times New Roman"/>
          <w:color w:val="auto"/>
          <w:sz w:val="21"/>
          <w:szCs w:val="21"/>
          <w:highlight w:val="none"/>
        </w:rPr>
        <w:t>期限</w:t>
      </w:r>
      <w:r>
        <w:rPr>
          <w:rFonts w:hint="eastAsia" w:ascii="Times New Roman" w:hAnsi="Times New Roman" w:cs="Times New Roman"/>
          <w:color w:val="auto"/>
          <w:sz w:val="21"/>
          <w:szCs w:val="21"/>
          <w:highlight w:val="none"/>
          <w:lang w:val="en-US" w:eastAsia="zh-CN"/>
        </w:rPr>
        <w:t>为：</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4.交货地点：</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val="en-US" w:eastAsia="zh-CN"/>
        </w:rPr>
        <w:t>5</w:t>
      </w:r>
      <w:r>
        <w:rPr>
          <w:rFonts w:hint="default" w:ascii="Times New Roman" w:hAnsi="Times New Roman" w:cs="Times New Roman"/>
          <w:b/>
          <w:bCs/>
          <w:color w:val="auto"/>
          <w:sz w:val="21"/>
          <w:szCs w:val="21"/>
          <w:highlight w:val="none"/>
          <w:lang w:val="en-US" w:eastAsia="zh-CN"/>
        </w:rPr>
        <w:t>.</w:t>
      </w:r>
      <w:r>
        <w:rPr>
          <w:rFonts w:hint="eastAsia" w:ascii="Times New Roman" w:hAnsi="Times New Roman" w:cs="Times New Roman"/>
          <w:b/>
          <w:bCs/>
          <w:color w:val="auto"/>
          <w:sz w:val="21"/>
          <w:szCs w:val="21"/>
          <w:highlight w:val="none"/>
          <w:lang w:val="en-US" w:eastAsia="zh-CN"/>
        </w:rPr>
        <w:t>供货期限</w:t>
      </w:r>
    </w:p>
    <w:p>
      <w:pPr>
        <w:spacing w:line="360" w:lineRule="auto"/>
        <w:ind w:firstLine="420" w:firstLineChars="200"/>
        <w:rPr>
          <w:rFonts w:hint="eastAsia"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lang w:val="en-US" w:eastAsia="zh-CN"/>
        </w:rPr>
        <w:t>本项目供货期限为</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r>
        <w:rPr>
          <w:rFonts w:hint="eastAsia" w:ascii="Times New Roman" w:hAnsi="Times New Roman" w:cs="Times New Roman"/>
          <w:color w:val="auto"/>
          <w:sz w:val="21"/>
          <w:szCs w:val="21"/>
          <w:highlight w:val="none"/>
          <w:u w:val="none"/>
          <w:lang w:val="en-US" w:eastAsia="zh-CN"/>
        </w:rPr>
        <w:t>自</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日起至</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日止。</w:t>
      </w:r>
    </w:p>
    <w:p>
      <w:pPr>
        <w:spacing w:line="360" w:lineRule="auto"/>
        <w:ind w:firstLine="422" w:firstLineChars="200"/>
        <w:rPr>
          <w:rFonts w:hint="eastAsia"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6.付款方式</w:t>
      </w:r>
    </w:p>
    <w:p>
      <w:pPr>
        <w:widowControl/>
        <w:shd w:val="clear" w:color="auto" w:fill="FFFFFF"/>
        <w:wordWrap w:val="0"/>
        <w:spacing w:line="555" w:lineRule="atLeast"/>
        <w:ind w:firstLine="420" w:firstLineChars="200"/>
        <w:jc w:val="left"/>
        <w:rPr>
          <w:rFonts w:cs="宋体"/>
          <w:color w:val="333333"/>
          <w:kern w:val="0"/>
          <w:sz w:val="30"/>
          <w:szCs w:val="30"/>
        </w:rPr>
      </w:pPr>
      <w:r>
        <w:rPr>
          <w:rFonts w:hint="eastAsia" w:asciiTheme="minorEastAsia" w:hAnsiTheme="minorEastAsia" w:eastAsiaTheme="minorEastAsia" w:cstheme="minorEastAsia"/>
          <w:color w:val="333333"/>
          <w:kern w:val="0"/>
          <w:sz w:val="21"/>
          <w:szCs w:val="21"/>
        </w:rPr>
        <w:t>所购车辆送到询价单位指定交付地点经验收合格并开具机动车销售</w:t>
      </w:r>
      <w:r>
        <w:rPr>
          <w:rFonts w:hint="eastAsia" w:asciiTheme="minorEastAsia" w:hAnsiTheme="minorEastAsia" w:eastAsiaTheme="minorEastAsia" w:cstheme="minorEastAsia"/>
          <w:color w:val="333333"/>
          <w:kern w:val="0"/>
          <w:sz w:val="21"/>
          <w:szCs w:val="21"/>
          <w:highlight w:val="none"/>
        </w:rPr>
        <w:t>增值税</w:t>
      </w:r>
      <w:r>
        <w:rPr>
          <w:rFonts w:hint="eastAsia" w:asciiTheme="minorEastAsia" w:hAnsiTheme="minorEastAsia" w:cstheme="minorEastAsia"/>
          <w:color w:val="333333"/>
          <w:kern w:val="0"/>
          <w:sz w:val="21"/>
          <w:szCs w:val="21"/>
          <w:highlight w:val="none"/>
          <w:lang w:eastAsia="zh-CN"/>
        </w:rPr>
        <w:t>专用</w:t>
      </w:r>
      <w:r>
        <w:rPr>
          <w:rFonts w:hint="eastAsia" w:asciiTheme="minorEastAsia" w:hAnsiTheme="minorEastAsia" w:eastAsiaTheme="minorEastAsia" w:cstheme="minorEastAsia"/>
          <w:color w:val="333333"/>
          <w:kern w:val="0"/>
          <w:sz w:val="21"/>
          <w:szCs w:val="21"/>
        </w:rPr>
        <w:t>发票，</w:t>
      </w:r>
      <w:r>
        <w:rPr>
          <w:rFonts w:hint="eastAsia" w:asciiTheme="minorEastAsia" w:hAnsiTheme="minorEastAsia" w:eastAsiaTheme="minorEastAsia" w:cstheme="minorEastAsia"/>
          <w:sz w:val="21"/>
          <w:szCs w:val="21"/>
        </w:rPr>
        <w:t>车辆交接验收完成后10个工作日内，按合同约定的价格进行一次性支付。</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7.</w:t>
      </w:r>
      <w:r>
        <w:rPr>
          <w:rFonts w:hint="default" w:ascii="Times New Roman" w:hAnsi="Times New Roman" w:cs="Times New Roman"/>
          <w:b/>
          <w:color w:val="auto"/>
          <w:sz w:val="21"/>
          <w:szCs w:val="21"/>
          <w:highlight w:val="none"/>
        </w:rPr>
        <w:t>权利瑕疵担保</w:t>
      </w:r>
    </w:p>
    <w:p>
      <w:pPr>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7.1乙方</w:t>
      </w:r>
      <w:r>
        <w:rPr>
          <w:rFonts w:hint="default" w:ascii="Times New Roman" w:hAnsi="Times New Roman" w:cs="Times New Roman"/>
          <w:color w:val="auto"/>
          <w:sz w:val="21"/>
          <w:szCs w:val="21"/>
          <w:highlight w:val="none"/>
        </w:rPr>
        <w:t>保证对其出售的货物享有合法的权利</w:t>
      </w:r>
      <w:r>
        <w:rPr>
          <w:rFonts w:hint="eastAsia" w:ascii="Times New Roman" w:hAnsi="Times New Roman" w:cs="Times New Roman"/>
          <w:color w:val="auto"/>
          <w:sz w:val="21"/>
          <w:szCs w:val="21"/>
          <w:highlight w:val="none"/>
          <w:lang w:eastAsia="zh-CN"/>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7.2乙方</w:t>
      </w:r>
      <w:r>
        <w:rPr>
          <w:rFonts w:hint="default" w:ascii="Times New Roman" w:hAnsi="Times New Roman" w:cs="Times New Roman"/>
          <w:color w:val="auto"/>
          <w:sz w:val="21"/>
          <w:szCs w:val="21"/>
          <w:highlight w:val="none"/>
        </w:rPr>
        <w:t>保证在其出售的货物上不存在任何未曾向对方透露的担保物权，如抵押权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质押权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留置权等。</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7.3乙方</w:t>
      </w:r>
      <w:r>
        <w:rPr>
          <w:rFonts w:hint="default" w:ascii="Times New Roman" w:hAnsi="Times New Roman" w:cs="Times New Roman"/>
          <w:color w:val="auto"/>
          <w:sz w:val="21"/>
          <w:szCs w:val="21"/>
          <w:highlight w:val="none"/>
        </w:rPr>
        <w:t>保证其所出售的货物没有侵犯任何第三人的知识产权和商业秘密等权利。</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7.4</w:t>
      </w:r>
      <w:r>
        <w:rPr>
          <w:rFonts w:hint="default" w:ascii="Times New Roman" w:hAnsi="Times New Roman" w:cs="Times New Roman"/>
          <w:color w:val="auto"/>
          <w:sz w:val="21"/>
          <w:szCs w:val="21"/>
          <w:highlight w:val="none"/>
        </w:rPr>
        <w:t>如</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使用该货物构成上述侵权的，则</w:t>
      </w:r>
      <w:r>
        <w:rPr>
          <w:rFonts w:hint="eastAsia" w:ascii="Times New Roman" w:hAnsi="Times New Roman" w:cs="Times New Roman"/>
          <w:color w:val="auto"/>
          <w:sz w:val="21"/>
          <w:szCs w:val="21"/>
          <w:highlight w:val="none"/>
          <w:lang w:val="en-US" w:eastAsia="zh-CN"/>
        </w:rPr>
        <w:t>由乙方</w:t>
      </w:r>
      <w:r>
        <w:rPr>
          <w:rFonts w:hint="default" w:ascii="Times New Roman" w:hAnsi="Times New Roman" w:cs="Times New Roman"/>
          <w:color w:val="auto"/>
          <w:sz w:val="21"/>
          <w:szCs w:val="21"/>
          <w:highlight w:val="none"/>
        </w:rPr>
        <w:t>承担全部责任。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7.5如货物需要</w:t>
      </w:r>
      <w:r>
        <w:rPr>
          <w:rFonts w:hint="default" w:ascii="Times New Roman" w:hAnsi="Times New Roman" w:cs="Times New Roman"/>
          <w:color w:val="auto"/>
          <w:sz w:val="21"/>
          <w:szCs w:val="21"/>
          <w:highlight w:val="none"/>
        </w:rPr>
        <w:t>乙方负责安装</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承担验收合格前发生的安全责任。</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8.</w:t>
      </w:r>
      <w:r>
        <w:rPr>
          <w:rFonts w:hint="default" w:ascii="Times New Roman" w:hAnsi="Times New Roman" w:cs="Times New Roman"/>
          <w:b/>
          <w:color w:val="auto"/>
          <w:sz w:val="21"/>
          <w:szCs w:val="21"/>
          <w:highlight w:val="none"/>
        </w:rPr>
        <w:t>包装规定</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8.1</w:t>
      </w:r>
      <w:r>
        <w:rPr>
          <w:rFonts w:hint="default" w:ascii="Times New Roman" w:hAnsi="Times New Roman" w:cs="Times New Roman"/>
          <w:color w:val="auto"/>
          <w:sz w:val="21"/>
          <w:szCs w:val="21"/>
          <w:highlight w:val="none"/>
        </w:rPr>
        <w:t>包装要求及费用负担：</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所售的全部货物均应按标准保护措施进行包装，这类包装应适应于远距离运输</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防潮，防震，防锈和防野蛮装卸等要求，以确保货物安全无损地运抵</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指定</w:t>
      </w:r>
      <w:r>
        <w:rPr>
          <w:rFonts w:hint="eastAsia" w:ascii="Times New Roman" w:hAnsi="Times New Roman" w:cs="Times New Roman"/>
          <w:color w:val="auto"/>
          <w:sz w:val="21"/>
          <w:szCs w:val="21"/>
          <w:highlight w:val="none"/>
          <w:lang w:val="en-US" w:eastAsia="zh-CN"/>
        </w:rPr>
        <w:t>地点</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8.2</w:t>
      </w:r>
      <w:r>
        <w:rPr>
          <w:rFonts w:hint="default" w:ascii="Times New Roman" w:hAnsi="Times New Roman" w:cs="Times New Roman"/>
          <w:color w:val="auto"/>
          <w:sz w:val="21"/>
          <w:szCs w:val="21"/>
          <w:highlight w:val="none"/>
        </w:rPr>
        <w:t>每一个包装箱内应附有出标准配置的有关技术，质量，三包等资料。</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9.</w:t>
      </w:r>
      <w:r>
        <w:rPr>
          <w:rFonts w:hint="default" w:ascii="Times New Roman" w:hAnsi="Times New Roman" w:cs="Times New Roman"/>
          <w:b/>
          <w:color w:val="auto"/>
          <w:sz w:val="21"/>
          <w:szCs w:val="21"/>
          <w:highlight w:val="none"/>
        </w:rPr>
        <w:t>验收及安装</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9.1</w:t>
      </w:r>
      <w:r>
        <w:rPr>
          <w:rFonts w:hint="default" w:ascii="Times New Roman" w:hAnsi="Times New Roman" w:cs="Times New Roman"/>
          <w:color w:val="auto"/>
          <w:sz w:val="21"/>
          <w:szCs w:val="21"/>
          <w:highlight w:val="none"/>
        </w:rPr>
        <w:t>由甲方根据货物的技术规格要求和质量标准，对货物进行检查验收。</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9.2</w:t>
      </w:r>
      <w:r>
        <w:rPr>
          <w:rFonts w:hint="default" w:ascii="Times New Roman" w:hAnsi="Times New Roman" w:cs="Times New Roman"/>
          <w:color w:val="auto"/>
          <w:sz w:val="21"/>
          <w:szCs w:val="21"/>
          <w:highlight w:val="none"/>
        </w:rPr>
        <w:t>如检验不满足</w:t>
      </w:r>
      <w:r>
        <w:rPr>
          <w:rFonts w:hint="eastAsia" w:ascii="Times New Roman" w:hAnsi="Times New Roman" w:cs="Times New Roman"/>
          <w:color w:val="auto"/>
          <w:sz w:val="21"/>
          <w:szCs w:val="21"/>
          <w:highlight w:val="none"/>
          <w:lang w:val="en-US" w:eastAsia="zh-CN"/>
        </w:rPr>
        <w:t>采购</w:t>
      </w:r>
      <w:r>
        <w:rPr>
          <w:rFonts w:hint="default" w:ascii="Times New Roman" w:hAnsi="Times New Roman" w:cs="Times New Roman"/>
          <w:color w:val="auto"/>
          <w:sz w:val="21"/>
          <w:szCs w:val="21"/>
          <w:highlight w:val="none"/>
        </w:rPr>
        <w:t>文件要求</w:t>
      </w:r>
      <w:r>
        <w:rPr>
          <w:rFonts w:hint="eastAsia" w:ascii="Times New Roman" w:hAnsi="Times New Roman" w:cs="Times New Roman"/>
          <w:color w:val="auto"/>
          <w:sz w:val="21"/>
          <w:szCs w:val="21"/>
          <w:highlight w:val="none"/>
          <w:lang w:val="en-US" w:eastAsia="zh-CN"/>
        </w:rPr>
        <w:t>或</w:t>
      </w:r>
      <w:r>
        <w:rPr>
          <w:rFonts w:hint="default" w:ascii="Times New Roman" w:hAnsi="Times New Roman" w:cs="Times New Roman"/>
          <w:color w:val="auto"/>
          <w:sz w:val="21"/>
          <w:szCs w:val="21"/>
          <w:highlight w:val="none"/>
        </w:rPr>
        <w:t>不能按照国家标准正常使用，由乙方返工。如再次检验不合格，甲方有权取消合同。</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9.3</w:t>
      </w:r>
      <w:r>
        <w:rPr>
          <w:rFonts w:hint="default" w:ascii="Times New Roman" w:hAnsi="Times New Roman" w:cs="Times New Roman"/>
          <w:color w:val="auto"/>
          <w:sz w:val="21"/>
          <w:szCs w:val="21"/>
          <w:highlight w:val="none"/>
        </w:rPr>
        <w:t>乙方提供的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，需提供相应的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质量合格证书和说明书。乙方交货必须严格按照合同约定的产品规格、型号要求，否则甲方有权拒收。收货后发现返修率达到</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%以上</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，甲方有权终止合同。</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10.</w:t>
      </w:r>
      <w:r>
        <w:rPr>
          <w:rFonts w:hint="default" w:ascii="Times New Roman" w:hAnsi="Times New Roman" w:cs="Times New Roman"/>
          <w:b/>
          <w:color w:val="auto"/>
          <w:sz w:val="21"/>
          <w:szCs w:val="21"/>
          <w:highlight w:val="none"/>
        </w:rPr>
        <w:t>售后服务</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10.1</w:t>
      </w:r>
      <w:r>
        <w:rPr>
          <w:rFonts w:hint="default" w:ascii="Times New Roman" w:hAnsi="Times New Roman" w:cs="Times New Roman"/>
          <w:color w:val="auto"/>
          <w:sz w:val="21"/>
          <w:szCs w:val="21"/>
          <w:highlight w:val="none"/>
        </w:rPr>
        <w:t>乙方承诺的售后服务按照</w:t>
      </w:r>
      <w:r>
        <w:rPr>
          <w:rFonts w:hint="eastAsia" w:ascii="Times New Roman" w:hAnsi="Times New Roman" w:cs="Times New Roman"/>
          <w:color w:val="auto"/>
          <w:sz w:val="21"/>
          <w:szCs w:val="21"/>
          <w:highlight w:val="none"/>
          <w:lang w:val="en-US" w:eastAsia="zh-CN"/>
        </w:rPr>
        <w:t>响应文件</w:t>
      </w:r>
      <w:r>
        <w:rPr>
          <w:rFonts w:hint="default" w:ascii="Times New Roman" w:hAnsi="Times New Roman" w:cs="Times New Roman"/>
          <w:color w:val="auto"/>
          <w:sz w:val="21"/>
          <w:szCs w:val="21"/>
          <w:highlight w:val="none"/>
        </w:rPr>
        <w:t>的服务承诺方案实施。</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10.2货物</w:t>
      </w:r>
      <w:r>
        <w:rPr>
          <w:rFonts w:hint="default" w:ascii="Times New Roman" w:hAnsi="Times New Roman" w:cs="Times New Roman"/>
          <w:color w:val="auto"/>
          <w:sz w:val="21"/>
          <w:szCs w:val="21"/>
          <w:highlight w:val="none"/>
        </w:rPr>
        <w:t>售后服务质量技术标准：按国家新“三包”规定执行</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如有质量问题7天内包退，15天内包换。</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10.3货物</w:t>
      </w:r>
      <w:r>
        <w:rPr>
          <w:rFonts w:hint="default" w:ascii="Times New Roman" w:hAnsi="Times New Roman" w:cs="Times New Roman"/>
          <w:color w:val="auto"/>
          <w:sz w:val="21"/>
          <w:szCs w:val="21"/>
          <w:highlight w:val="none"/>
        </w:rPr>
        <w:t>出现产品故障时，售后响应时间为</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10.4</w:t>
      </w:r>
      <w:r>
        <w:rPr>
          <w:rFonts w:hint="default" w:ascii="Times New Roman" w:hAnsi="Times New Roman" w:cs="Times New Roman"/>
          <w:color w:val="auto"/>
          <w:sz w:val="21"/>
          <w:szCs w:val="21"/>
          <w:highlight w:val="none"/>
        </w:rPr>
        <w:t>售后服务由乙方全权负责，成立专门售后服务小组，保证提供完善的售后服务。售后联系人：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11.</w:t>
      </w:r>
      <w:r>
        <w:rPr>
          <w:rFonts w:hint="default" w:ascii="Times New Roman" w:hAnsi="Times New Roman" w:cs="Times New Roman"/>
          <w:b/>
          <w:color w:val="auto"/>
          <w:sz w:val="21"/>
          <w:szCs w:val="21"/>
          <w:highlight w:val="none"/>
        </w:rPr>
        <w:t>违约责任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11.1</w:t>
      </w:r>
      <w:r>
        <w:rPr>
          <w:rFonts w:hint="default" w:ascii="Times New Roman" w:hAnsi="Times New Roman" w:cs="Times New Roman"/>
          <w:color w:val="auto"/>
          <w:sz w:val="21"/>
          <w:szCs w:val="21"/>
          <w:highlight w:val="none"/>
        </w:rPr>
        <w:t>因乙方原因不能按照约定期限交货并完成安装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如需</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的，应承担违约责任。即每逾期一天须向甲方支付</w:t>
      </w:r>
      <w:r>
        <w:rPr>
          <w:rFonts w:hint="eastAsia" w:ascii="Times New Roman" w:hAnsi="Times New Roman" w:cs="Times New Roman"/>
          <w:color w:val="auto"/>
          <w:sz w:val="21"/>
          <w:szCs w:val="21"/>
          <w:highlight w:val="none"/>
          <w:lang w:val="en-US" w:eastAsia="zh-CN"/>
        </w:rPr>
        <w:t>逾期货物价款</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违约金，延期超过</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日的，甲方将解除合同并要求乙方赔偿逾期损失。</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11.2</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交付货物</w:t>
      </w:r>
      <w:r>
        <w:rPr>
          <w:rFonts w:hint="default" w:ascii="Times New Roman" w:hAnsi="Times New Roman" w:cs="Times New Roman"/>
          <w:color w:val="auto"/>
          <w:sz w:val="21"/>
          <w:szCs w:val="21"/>
          <w:highlight w:val="none"/>
        </w:rPr>
        <w:t>不符合相关质量标准的，乙方负责包修包换，其中修理三次仍不能正常使用的，乙方同意按退货处理。乙方保修包换设备及退货退款的，应当在</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日内完成，不能按约定完成的，每天按</w:t>
      </w:r>
      <w:r>
        <w:rPr>
          <w:rFonts w:hint="eastAsia" w:ascii="Times New Roman" w:hAnsi="Times New Roman" w:cs="Times New Roman"/>
          <w:color w:val="auto"/>
          <w:sz w:val="21"/>
          <w:szCs w:val="21"/>
          <w:highlight w:val="none"/>
          <w:lang w:val="en-US" w:eastAsia="zh-CN"/>
        </w:rPr>
        <w:t>相应货物价款</w:t>
      </w:r>
      <w:r>
        <w:rPr>
          <w:rFonts w:hint="default" w:ascii="Times New Roman" w:hAnsi="Times New Roman" w:cs="Times New Roman"/>
          <w:color w:val="auto"/>
          <w:sz w:val="21"/>
          <w:szCs w:val="21"/>
          <w:highlight w:val="none"/>
        </w:rPr>
        <w:t>的</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%的标准向甲方支付违约金。</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11.3</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货物运输、</w:t>
      </w:r>
      <w:r>
        <w:rPr>
          <w:rFonts w:hint="default" w:ascii="Times New Roman" w:hAnsi="Times New Roman" w:cs="Times New Roman"/>
          <w:color w:val="auto"/>
          <w:sz w:val="21"/>
          <w:szCs w:val="21"/>
          <w:highlight w:val="none"/>
        </w:rPr>
        <w:t>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调试、试运行等过程中</w:t>
      </w:r>
      <w:r>
        <w:rPr>
          <w:rFonts w:hint="default" w:ascii="Times New Roman" w:hAnsi="Times New Roman" w:cs="Times New Roman"/>
          <w:color w:val="auto"/>
          <w:sz w:val="21"/>
          <w:szCs w:val="21"/>
          <w:highlight w:val="none"/>
        </w:rPr>
        <w:t>对自身或他人造成的任何人身或财产损失，均全部由乙方负责。</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11.4</w:t>
      </w:r>
      <w:r>
        <w:rPr>
          <w:rFonts w:hint="default" w:ascii="Times New Roman" w:hAnsi="Times New Roman" w:cs="Times New Roman"/>
          <w:color w:val="auto"/>
          <w:sz w:val="21"/>
          <w:szCs w:val="21"/>
          <w:highlight w:val="none"/>
        </w:rPr>
        <w:t>乙方所交付货物侵犯第三方权益的，应承担由此给甲方造成的一切损失，并承担一切后果。</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11.5</w:t>
      </w:r>
      <w:r>
        <w:rPr>
          <w:rFonts w:hint="default" w:ascii="Times New Roman" w:hAnsi="Times New Roman" w:cs="Times New Roman"/>
          <w:color w:val="auto"/>
          <w:sz w:val="21"/>
          <w:szCs w:val="21"/>
          <w:highlight w:val="none"/>
        </w:rPr>
        <w:t>若发生其他违约情形，违约方应赔偿由此给对方的损失。如属双方过失，应各自承担相应责任。</w:t>
      </w:r>
    </w:p>
    <w:p>
      <w:pPr>
        <w:spacing w:line="360" w:lineRule="auto"/>
        <w:ind w:firstLine="420" w:firstLineChars="200"/>
        <w:rPr>
          <w:rFonts w:hint="eastAsia" w:ascii="Times New Roman" w:hAnsi="Times New Roman" w:eastAsia="宋体" w:cs="Times New Roman"/>
          <w:bCs/>
          <w:color w:val="auto"/>
          <w:sz w:val="21"/>
          <w:szCs w:val="21"/>
          <w:highlight w:val="none"/>
          <w:lang w:eastAsia="zh-CN"/>
        </w:rPr>
      </w:pPr>
      <w:r>
        <w:rPr>
          <w:rFonts w:hint="eastAsia" w:ascii="Times New Roman" w:hAnsi="Times New Roman" w:cs="Times New Roman"/>
          <w:bCs/>
          <w:color w:val="auto"/>
          <w:sz w:val="21"/>
          <w:szCs w:val="21"/>
          <w:highlight w:val="none"/>
          <w:lang w:val="en-US" w:eastAsia="zh-CN"/>
        </w:rPr>
        <w:t>11.6</w:t>
      </w:r>
      <w:r>
        <w:rPr>
          <w:rFonts w:hint="default" w:ascii="Times New Roman" w:hAnsi="Times New Roman" w:cs="Times New Roman"/>
          <w:color w:val="auto"/>
          <w:sz w:val="21"/>
          <w:szCs w:val="21"/>
          <w:highlight w:val="none"/>
        </w:rPr>
        <w:t>乙方</w:t>
      </w:r>
      <w:r>
        <w:rPr>
          <w:rFonts w:hint="default" w:ascii="Times New Roman" w:hAnsi="Times New Roman" w:cs="Times New Roman"/>
          <w:bCs/>
          <w:color w:val="auto"/>
          <w:sz w:val="21"/>
          <w:szCs w:val="21"/>
          <w:highlight w:val="none"/>
        </w:rPr>
        <w:t>必须保证甲方在使用</w:t>
      </w:r>
      <w:r>
        <w:rPr>
          <w:rFonts w:hint="eastAsia" w:ascii="Times New Roman" w:hAnsi="Times New Roman" w:cs="Times New Roman"/>
          <w:bCs/>
          <w:color w:val="auto"/>
          <w:sz w:val="21"/>
          <w:szCs w:val="21"/>
          <w:highlight w:val="none"/>
          <w:lang w:val="en-US" w:eastAsia="zh-CN"/>
        </w:rPr>
        <w:t>乙方</w:t>
      </w:r>
      <w:r>
        <w:rPr>
          <w:rFonts w:hint="default" w:ascii="Times New Roman" w:hAnsi="Times New Roman" w:cs="Times New Roman"/>
          <w:bCs/>
          <w:color w:val="auto"/>
          <w:sz w:val="21"/>
          <w:szCs w:val="21"/>
          <w:highlight w:val="none"/>
        </w:rPr>
        <w:t>提供的货物时</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不存在任何已知的不合法的情形</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也不存在已知的与第三方专利权</w:t>
      </w:r>
      <w:r>
        <w:rPr>
          <w:rFonts w:hint="default" w:ascii="Times New Roman" w:hAnsi="Times New Roman" w:cs="Times New Roman"/>
          <w:color w:val="auto"/>
          <w:sz w:val="21"/>
          <w:szCs w:val="21"/>
          <w:highlight w:val="none"/>
        </w:rPr>
        <w:t>、著作权、商标权或工业设计权相关的任何争议</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如果有任何因甲方使用乙方提供的货物而提起的侵权指控</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乙方依法承担全部责任</w:t>
      </w:r>
      <w:r>
        <w:rPr>
          <w:rFonts w:hint="eastAsia" w:ascii="Times New Roman" w:hAnsi="Times New Roman" w:cs="Times New Roman"/>
          <w:bCs/>
          <w:color w:val="auto"/>
          <w:sz w:val="21"/>
          <w:szCs w:val="21"/>
          <w:highlight w:val="none"/>
          <w:lang w:eastAsia="zh-CN"/>
        </w:rPr>
        <w:t>。</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12.</w:t>
      </w:r>
      <w:r>
        <w:rPr>
          <w:rFonts w:hint="default" w:ascii="Times New Roman" w:hAnsi="Times New Roman" w:cs="Times New Roman"/>
          <w:b/>
          <w:bCs/>
          <w:color w:val="auto"/>
          <w:sz w:val="21"/>
          <w:szCs w:val="21"/>
          <w:highlight w:val="none"/>
          <w:u w:val="none"/>
          <w:lang w:val="en-US" w:eastAsia="zh-CN"/>
        </w:rPr>
        <w:t>合同的</w:t>
      </w:r>
      <w:r>
        <w:rPr>
          <w:rFonts w:hint="eastAsia" w:ascii="Times New Roman" w:hAnsi="Times New Roman" w:cs="Times New Roman"/>
          <w:b/>
          <w:bCs/>
          <w:color w:val="auto"/>
          <w:sz w:val="21"/>
          <w:szCs w:val="21"/>
          <w:highlight w:val="none"/>
          <w:u w:val="none"/>
          <w:lang w:val="en-US" w:eastAsia="zh-CN"/>
        </w:rPr>
        <w:t>变更</w:t>
      </w:r>
    </w:p>
    <w:p>
      <w:pPr>
        <w:spacing w:line="360" w:lineRule="auto"/>
        <w:ind w:firstLine="420" w:firstLineChars="20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12.1</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val="en-US" w:eastAsia="zh-CN"/>
        </w:rPr>
        <w:t>，供货价格不随任何因素发生变化。</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12.2</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甲方有</w:t>
      </w:r>
      <w:r>
        <w:rPr>
          <w:rFonts w:hint="eastAsia" w:ascii="Times New Roman" w:hAnsi="Times New Roman" w:cs="Times New Roman"/>
          <w:color w:val="auto"/>
          <w:sz w:val="21"/>
          <w:szCs w:val="21"/>
          <w:highlight w:val="none"/>
          <w:lang w:val="en-US" w:eastAsia="zh-CN"/>
        </w:rPr>
        <w:t>权调整供货数量</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如增加或减少供货数量时，甲方应提前</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lang w:val="en-US" w:eastAsia="zh-CN"/>
        </w:rPr>
        <w:t>日通知乙方。对增加供货数量的，</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应在</w:t>
      </w:r>
      <w:r>
        <w:rPr>
          <w:rFonts w:hint="default" w:ascii="Times New Roman" w:hAnsi="Times New Roman" w:cs="Times New Roman"/>
          <w:color w:val="auto"/>
          <w:sz w:val="21"/>
          <w:szCs w:val="21"/>
          <w:highlight w:val="none"/>
        </w:rPr>
        <w:t>在接到甲方补单通知后</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日内将增加</w:t>
      </w:r>
      <w:r>
        <w:rPr>
          <w:rFonts w:hint="eastAsia" w:ascii="Times New Roman" w:hAnsi="Times New Roman" w:cs="Times New Roman"/>
          <w:color w:val="auto"/>
          <w:sz w:val="21"/>
          <w:szCs w:val="21"/>
          <w:highlight w:val="none"/>
          <w:lang w:val="en-US" w:eastAsia="zh-CN"/>
        </w:rPr>
        <w:t>的货物</w:t>
      </w:r>
      <w:r>
        <w:rPr>
          <w:rFonts w:hint="default" w:ascii="Times New Roman" w:hAnsi="Times New Roman" w:cs="Times New Roman"/>
          <w:color w:val="auto"/>
          <w:sz w:val="21"/>
          <w:szCs w:val="21"/>
          <w:highlight w:val="none"/>
        </w:rPr>
        <w:t>按本合同价格及相关质量要求及时</w:t>
      </w:r>
      <w:r>
        <w:rPr>
          <w:rFonts w:hint="eastAsia" w:ascii="Times New Roman" w:hAnsi="Times New Roman" w:cs="Times New Roman"/>
          <w:color w:val="auto"/>
          <w:sz w:val="21"/>
          <w:szCs w:val="21"/>
          <w:highlight w:val="none"/>
          <w:lang w:val="en-US" w:eastAsia="zh-CN"/>
        </w:rPr>
        <w:t>供</w:t>
      </w:r>
      <w:r>
        <w:rPr>
          <w:rFonts w:hint="default" w:ascii="Times New Roman" w:hAnsi="Times New Roman" w:cs="Times New Roman"/>
          <w:color w:val="auto"/>
          <w:sz w:val="21"/>
          <w:szCs w:val="21"/>
          <w:highlight w:val="none"/>
        </w:rPr>
        <w:t>货到位。</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13.</w:t>
      </w:r>
      <w:r>
        <w:rPr>
          <w:rFonts w:hint="default" w:ascii="Times New Roman" w:hAnsi="Times New Roman" w:cs="Times New Roman"/>
          <w:b/>
          <w:bCs/>
          <w:color w:val="auto"/>
          <w:sz w:val="21"/>
          <w:szCs w:val="21"/>
          <w:highlight w:val="none"/>
          <w:u w:val="none"/>
          <w:lang w:val="en-US" w:eastAsia="zh-CN"/>
        </w:rPr>
        <w:t>不可抗力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14.</w:t>
      </w:r>
      <w:r>
        <w:rPr>
          <w:rFonts w:hint="default" w:ascii="Times New Roman" w:hAnsi="Times New Roman" w:cs="Times New Roman"/>
          <w:b/>
          <w:bCs/>
          <w:color w:val="auto"/>
          <w:sz w:val="21"/>
          <w:szCs w:val="21"/>
          <w:highlight w:val="none"/>
          <w:u w:val="none"/>
          <w:lang w:val="en-US" w:eastAsia="zh-CN"/>
        </w:rPr>
        <w:t>争议解决方式</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本合同项下所发生的争议，由双方协商解决，协商不成的，双方同意按照依法向人民法院提起诉讼解决。</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15.</w:t>
      </w:r>
      <w:r>
        <w:rPr>
          <w:rFonts w:hint="default" w:ascii="Times New Roman" w:hAnsi="Times New Roman" w:cs="Times New Roman"/>
          <w:b/>
          <w:bCs/>
          <w:color w:val="auto"/>
          <w:sz w:val="21"/>
          <w:szCs w:val="21"/>
          <w:highlight w:val="none"/>
          <w:u w:val="none"/>
          <w:lang w:val="en-US" w:eastAsia="zh-CN"/>
        </w:rPr>
        <w:t>其他条款</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15.1</w:t>
      </w:r>
      <w:r>
        <w:rPr>
          <w:rFonts w:hint="default" w:ascii="Times New Roman" w:hAnsi="Times New Roman" w:cs="Times New Roman"/>
          <w:color w:val="auto"/>
          <w:sz w:val="21"/>
          <w:szCs w:val="21"/>
          <w:highlight w:val="none"/>
          <w:u w:val="none"/>
          <w:lang w:val="en-US" w:eastAsia="zh-CN"/>
        </w:rPr>
        <w:t>本合同自双方</w:t>
      </w:r>
      <w:r>
        <w:rPr>
          <w:rFonts w:hint="eastAsia" w:ascii="Times New Roman" w:hAnsi="Times New Roman" w:cs="Times New Roman"/>
          <w:color w:val="auto"/>
          <w:sz w:val="21"/>
          <w:szCs w:val="21"/>
          <w:highlight w:val="none"/>
          <w:u w:val="none"/>
          <w:lang w:val="en-US" w:eastAsia="zh-CN"/>
        </w:rPr>
        <w:t>签名</w:t>
      </w:r>
      <w:r>
        <w:rPr>
          <w:rFonts w:hint="default" w:ascii="Times New Roman" w:hAnsi="Times New Roman" w:cs="Times New Roman"/>
          <w:color w:val="auto"/>
          <w:sz w:val="21"/>
          <w:szCs w:val="21"/>
          <w:highlight w:val="none"/>
          <w:u w:val="none"/>
          <w:lang w:val="en-US" w:eastAsia="zh-CN"/>
        </w:rPr>
        <w:t>盖章之日起生效。本合同及附件共</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页，一式</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份，具有同等法律效力，其中甲方</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份，乙方</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15.2</w:t>
      </w:r>
      <w:r>
        <w:rPr>
          <w:rFonts w:hint="default" w:ascii="Times New Roman" w:hAnsi="Times New Roman" w:cs="Times New Roman"/>
          <w:color w:val="auto"/>
          <w:sz w:val="21"/>
          <w:szCs w:val="21"/>
          <w:highlight w:val="none"/>
          <w:u w:val="none"/>
          <w:lang w:val="en-US" w:eastAsia="zh-CN"/>
        </w:rPr>
        <w:t>本项目</w:t>
      </w:r>
      <w:r>
        <w:rPr>
          <w:rFonts w:hint="eastAsia" w:ascii="Times New Roman" w:hAnsi="Times New Roman" w:cs="Times New Roman"/>
          <w:color w:val="auto"/>
          <w:sz w:val="21"/>
          <w:szCs w:val="21"/>
          <w:highlight w:val="none"/>
          <w:u w:val="none"/>
          <w:lang w:val="en-US" w:eastAsia="zh-CN"/>
        </w:rPr>
        <w:t>采购</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、响应</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成交</w:t>
      </w:r>
      <w:r>
        <w:rPr>
          <w:rFonts w:hint="default" w:ascii="Times New Roman" w:hAnsi="Times New Roman" w:cs="Times New Roman"/>
          <w:color w:val="auto"/>
          <w:sz w:val="21"/>
          <w:szCs w:val="21"/>
          <w:highlight w:val="none"/>
          <w:u w:val="none"/>
          <w:lang w:val="en-US" w:eastAsia="zh-CN"/>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15.3</w:t>
      </w:r>
      <w:r>
        <w:rPr>
          <w:rFonts w:hint="default" w:ascii="Times New Roman" w:hAnsi="Times New Roman" w:cs="Times New Roman"/>
          <w:color w:val="auto"/>
          <w:sz w:val="21"/>
          <w:szCs w:val="21"/>
          <w:highlight w:val="none"/>
          <w:u w:val="none"/>
          <w:lang w:val="en-US" w:eastAsia="zh-CN"/>
        </w:rPr>
        <w:t>本合同未尽事宜，双方可协商签订补充协议，补充协议与本合同具有同等法律效力。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15.4</w:t>
      </w:r>
      <w:r>
        <w:rPr>
          <w:rFonts w:hint="default" w:ascii="Times New Roman" w:hAnsi="Times New Roman" w:cs="Times New Roman"/>
          <w:color w:val="auto"/>
          <w:sz w:val="21"/>
          <w:szCs w:val="21"/>
          <w:highlight w:val="none"/>
          <w:u w:val="none"/>
          <w:lang w:val="en-US" w:eastAsia="zh-CN"/>
        </w:rPr>
        <w:t>其他约定：</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甲</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盖单位章</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乙</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盖单位章</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rPr>
          <w:rFonts w:hint="default" w:ascii="Times New Roman" w:hAnsi="Times New Roman" w:cs="Times New Roman" w:eastAsiaTheme="minorEastAsia"/>
          <w:color w:val="auto"/>
          <w:highlight w:val="none"/>
          <w:lang w:val="en-US" w:eastAsia="zh-CN"/>
        </w:rPr>
      </w:pPr>
    </w:p>
    <w:p>
      <w:pPr>
        <w:pageBreakBefore w:val="0"/>
        <w:kinsoku/>
        <w:wordWrap/>
        <w:overflowPunct/>
        <w:topLinePunct w:val="0"/>
        <w:autoSpaceDE/>
        <w:autoSpaceDN/>
        <w:bidi w:val="0"/>
        <w:snapToGrid w:val="0"/>
        <w:spacing w:line="440" w:lineRule="exac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br w:type="page"/>
      </w:r>
    </w:p>
    <w:p>
      <w:pPr>
        <w:pStyle w:val="3"/>
        <w:numPr>
          <w:ilvl w:val="0"/>
          <w:numId w:val="0"/>
        </w:numPr>
        <w:spacing w:before="240" w:after="240"/>
        <w:jc w:val="center"/>
        <w:rPr>
          <w:rFonts w:hint="default" w:ascii="Times New Roman" w:hAnsi="Times New Roman" w:eastAsia="宋体" w:cs="Times New Roman"/>
          <w:color w:val="auto"/>
          <w:highlight w:val="none"/>
        </w:rPr>
      </w:pPr>
      <w:bookmarkStart w:id="92" w:name="_Toc21707_WPSOffice_Level1"/>
      <w:r>
        <w:rPr>
          <w:rFonts w:hint="eastAsia" w:ascii="Times New Roman" w:hAnsi="Times New Roman" w:eastAsia="宋体" w:cs="Times New Roman"/>
          <w:color w:val="auto"/>
          <w:highlight w:val="none"/>
          <w:lang w:val="en-US" w:eastAsia="zh-CN"/>
        </w:rPr>
        <w:t xml:space="preserve">第五章 </w:t>
      </w:r>
      <w:r>
        <w:rPr>
          <w:rFonts w:hint="default" w:ascii="Times New Roman" w:hAnsi="Times New Roman" w:eastAsia="宋体" w:cs="Times New Roman"/>
          <w:color w:val="auto"/>
          <w:highlight w:val="none"/>
          <w:lang w:val="en-US" w:eastAsia="zh-CN"/>
        </w:rPr>
        <w:t>采购需求及清单</w:t>
      </w:r>
      <w:bookmarkEnd w:id="92"/>
    </w:p>
    <w:tbl>
      <w:tblPr>
        <w:tblStyle w:val="11"/>
        <w:tblpPr w:leftFromText="180" w:rightFromText="180" w:vertAnchor="text" w:horzAnchor="page" w:tblpX="384" w:tblpY="1938"/>
        <w:tblOverlap w:val="never"/>
        <w:tblW w:w="10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90"/>
        <w:gridCol w:w="3942"/>
        <w:gridCol w:w="2859"/>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5032" w:type="dxa"/>
            <w:gridSpan w:val="2"/>
            <w:noWrap/>
            <w:tcMar>
              <w:top w:w="12" w:type="dxa"/>
              <w:left w:w="12" w:type="dxa"/>
              <w:right w:w="12" w:type="dxa"/>
            </w:tcMar>
            <w:vAlign w:val="center"/>
          </w:tcPr>
          <w:p>
            <w:pPr>
              <w:widowControl/>
              <w:jc w:val="center"/>
              <w:textAlignment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lang w:val="en-US" w:eastAsia="zh-CN" w:bidi="ar"/>
                <w14:textFill>
                  <w14:solidFill>
                    <w14:schemeClr w14:val="tx1"/>
                  </w14:solidFill>
                </w14:textFill>
              </w:rPr>
              <w:t xml:space="preserve">     </w:t>
            </w:r>
            <w:r>
              <w:rPr>
                <w:rFonts w:hint="eastAsia" w:ascii="宋体" w:hAnsi="宋体" w:cs="宋体"/>
                <w:b/>
                <w:color w:val="000000" w:themeColor="text1"/>
                <w:kern w:val="0"/>
                <w:sz w:val="24"/>
                <w:highlight w:val="none"/>
                <w:lang w:bidi="ar"/>
                <w14:textFill>
                  <w14:solidFill>
                    <w14:schemeClr w14:val="tx1"/>
                  </w14:solidFill>
                </w14:textFill>
              </w:rPr>
              <w:t>整车尺寸及质量</w:t>
            </w:r>
          </w:p>
        </w:tc>
        <w:tc>
          <w:tcPr>
            <w:tcW w:w="5767" w:type="dxa"/>
            <w:gridSpan w:val="2"/>
            <w:noWrap/>
            <w:tcMar>
              <w:top w:w="12" w:type="dxa"/>
              <w:left w:w="12" w:type="dxa"/>
              <w:right w:w="12" w:type="dxa"/>
            </w:tcMar>
            <w:vAlign w:val="center"/>
          </w:tcPr>
          <w:p>
            <w:pPr>
              <w:widowControl/>
              <w:jc w:val="center"/>
              <w:textAlignment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lang w:bidi="ar"/>
                <w14:textFill>
                  <w14:solidFill>
                    <w14:schemeClr w14:val="tx1"/>
                  </w14:solidFill>
                </w14:textFill>
              </w:rPr>
              <w:t>发动机及传动系统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trPr>
        <w:tc>
          <w:tcPr>
            <w:tcW w:w="1090"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长x宽</w:t>
            </w:r>
            <w:r>
              <w:rPr>
                <w:rStyle w:val="21"/>
                <w:rFonts w:hint="default"/>
                <w:color w:val="000000" w:themeColor="text1"/>
                <w:highlight w:val="none"/>
                <w:lang w:bidi="ar"/>
                <w14:textFill>
                  <w14:solidFill>
                    <w14:schemeClr w14:val="tx1"/>
                  </w14:solidFill>
                </w14:textFill>
              </w:rPr>
              <w:t>x高（mm）</w:t>
            </w:r>
          </w:p>
        </w:tc>
        <w:tc>
          <w:tcPr>
            <w:tcW w:w="3942"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4</w:t>
            </w:r>
            <w:r>
              <w:rPr>
                <w:rStyle w:val="21"/>
                <w:rFonts w:hint="default"/>
                <w:color w:val="000000" w:themeColor="text1"/>
                <w:highlight w:val="none"/>
                <w:lang w:bidi="ar"/>
                <w14:textFill>
                  <w14:solidFill>
                    <w14:schemeClr w14:val="tx1"/>
                  </w14:solidFill>
                </w14:textFill>
              </w:rPr>
              <w:t>945x1845x1470</w:t>
            </w:r>
          </w:p>
        </w:tc>
        <w:tc>
          <w:tcPr>
            <w:tcW w:w="2859"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排量（L）</w:t>
            </w:r>
          </w:p>
        </w:tc>
        <w:tc>
          <w:tcPr>
            <w:tcW w:w="2908"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1.8T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1090"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轴距（m</w:t>
            </w:r>
            <w:r>
              <w:rPr>
                <w:rStyle w:val="21"/>
                <w:rFonts w:hint="default"/>
                <w:color w:val="000000" w:themeColor="text1"/>
                <w:highlight w:val="none"/>
                <w:lang w:bidi="ar"/>
                <w14:textFill>
                  <w14:solidFill>
                    <w14:schemeClr w14:val="tx1"/>
                  </w14:solidFill>
                </w14:textFill>
              </w:rPr>
              <w:t>m）</w:t>
            </w:r>
          </w:p>
        </w:tc>
        <w:tc>
          <w:tcPr>
            <w:tcW w:w="3942"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2875</w:t>
            </w:r>
          </w:p>
        </w:tc>
        <w:tc>
          <w:tcPr>
            <w:tcW w:w="2859"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缸数</w:t>
            </w:r>
          </w:p>
        </w:tc>
        <w:tc>
          <w:tcPr>
            <w:tcW w:w="2908"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4缸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trPr>
        <w:tc>
          <w:tcPr>
            <w:tcW w:w="1090"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发动机技术</w:t>
            </w:r>
          </w:p>
        </w:tc>
        <w:tc>
          <w:tcPr>
            <w:tcW w:w="3942"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涡轮增压、缸内直喷、怠速启停</w:t>
            </w:r>
          </w:p>
        </w:tc>
        <w:tc>
          <w:tcPr>
            <w:tcW w:w="2859"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最大功率（k</w:t>
            </w:r>
            <w:r>
              <w:rPr>
                <w:rStyle w:val="21"/>
                <w:rFonts w:hint="default"/>
                <w:color w:val="000000" w:themeColor="text1"/>
                <w:highlight w:val="none"/>
                <w:lang w:bidi="ar"/>
                <w14:textFill>
                  <w14:solidFill>
                    <w14:schemeClr w14:val="tx1"/>
                  </w14:solidFill>
                </w14:textFill>
              </w:rPr>
              <w:t>w）</w:t>
            </w:r>
          </w:p>
        </w:tc>
        <w:tc>
          <w:tcPr>
            <w:tcW w:w="2908"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bidi="ar"/>
                <w14:textFill>
                  <w14:solidFill>
                    <w14:schemeClr w14:val="tx1"/>
                  </w14:solidFill>
                </w14:textFill>
              </w:rPr>
              <w:t xml:space="preserve"> </w:t>
            </w:r>
            <w:r>
              <w:rPr>
                <w:rFonts w:hint="eastAsia" w:ascii="宋体" w:hAnsi="宋体" w:cs="宋体"/>
                <w:color w:val="000000" w:themeColor="text1"/>
                <w:kern w:val="0"/>
                <w:sz w:val="24"/>
                <w:highlight w:val="none"/>
                <w:lang w:bidi="ar"/>
                <w14:textFill>
                  <w14:solidFill>
                    <w14:schemeClr w14:val="tx1"/>
                  </w14:solidFill>
                </w14:textFill>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trPr>
        <w:tc>
          <w:tcPr>
            <w:tcW w:w="5032" w:type="dxa"/>
            <w:gridSpan w:val="2"/>
            <w:noWrap/>
            <w:tcMar>
              <w:top w:w="12" w:type="dxa"/>
              <w:left w:w="12" w:type="dxa"/>
              <w:right w:w="12" w:type="dxa"/>
            </w:tcMar>
            <w:vAlign w:val="center"/>
          </w:tcPr>
          <w:p>
            <w:pPr>
              <w:widowControl/>
              <w:jc w:val="center"/>
              <w:textAlignment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lang w:val="en-US" w:eastAsia="zh-CN" w:bidi="ar"/>
                <w14:textFill>
                  <w14:solidFill>
                    <w14:schemeClr w14:val="tx1"/>
                  </w14:solidFill>
                </w14:textFill>
              </w:rPr>
              <w:t xml:space="preserve">     </w:t>
            </w:r>
            <w:r>
              <w:rPr>
                <w:rFonts w:hint="eastAsia" w:ascii="宋体" w:hAnsi="宋体" w:cs="宋体"/>
                <w:b/>
                <w:color w:val="000000" w:themeColor="text1"/>
                <w:kern w:val="0"/>
                <w:sz w:val="24"/>
                <w:highlight w:val="none"/>
                <w:lang w:bidi="ar"/>
                <w14:textFill>
                  <w14:solidFill>
                    <w14:schemeClr w14:val="tx1"/>
                  </w14:solidFill>
                </w14:textFill>
              </w:rPr>
              <w:t>悬架及制动系统</w:t>
            </w:r>
          </w:p>
        </w:tc>
        <w:tc>
          <w:tcPr>
            <w:tcW w:w="2859"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最大扭矩（N</w:t>
            </w:r>
            <w:r>
              <w:rPr>
                <w:rStyle w:val="21"/>
                <w:rFonts w:hint="default"/>
                <w:color w:val="000000" w:themeColor="text1"/>
                <w:highlight w:val="none"/>
                <w:lang w:bidi="ar"/>
                <w14:textFill>
                  <w14:solidFill>
                    <w14:schemeClr w14:val="tx1"/>
                  </w14:solidFill>
                </w14:textFill>
              </w:rPr>
              <w:t>m）</w:t>
            </w:r>
          </w:p>
        </w:tc>
        <w:tc>
          <w:tcPr>
            <w:tcW w:w="2908" w:type="dxa"/>
            <w:noWrap/>
            <w:tcMar>
              <w:top w:w="12" w:type="dxa"/>
              <w:left w:w="12" w:type="dxa"/>
              <w:right w:w="12" w:type="dxa"/>
            </w:tcMar>
            <w:vAlign w:val="center"/>
          </w:tcPr>
          <w:p>
            <w:pPr>
              <w:widowControl/>
              <w:ind w:firstLine="960" w:firstLineChars="400"/>
              <w:jc w:val="both"/>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1090"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前/后悬架</w:t>
            </w:r>
          </w:p>
        </w:tc>
        <w:tc>
          <w:tcPr>
            <w:tcW w:w="3942"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前麦弗逊独立悬架/后多连杆独立悬架</w:t>
            </w:r>
          </w:p>
        </w:tc>
        <w:tc>
          <w:tcPr>
            <w:tcW w:w="2859"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驱动形式</w:t>
            </w:r>
          </w:p>
        </w:tc>
        <w:tc>
          <w:tcPr>
            <w:tcW w:w="2908"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前置两驱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1090"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助力类型</w:t>
            </w:r>
          </w:p>
        </w:tc>
        <w:tc>
          <w:tcPr>
            <w:tcW w:w="3942"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电子随速助力转向系统（E</w:t>
            </w:r>
            <w:r>
              <w:rPr>
                <w:rStyle w:val="21"/>
                <w:rFonts w:hint="default"/>
                <w:color w:val="000000" w:themeColor="text1"/>
                <w:highlight w:val="none"/>
                <w:lang w:bidi="ar"/>
                <w14:textFill>
                  <w14:solidFill>
                    <w14:schemeClr w14:val="tx1"/>
                  </w14:solidFill>
                </w14:textFill>
              </w:rPr>
              <w:t>PS)</w:t>
            </w:r>
          </w:p>
        </w:tc>
        <w:tc>
          <w:tcPr>
            <w:tcW w:w="2859"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变速器</w:t>
            </w:r>
          </w:p>
        </w:tc>
        <w:tc>
          <w:tcPr>
            <w:tcW w:w="2908" w:type="dxa"/>
            <w:noWrap/>
            <w:tcMar>
              <w:top w:w="12" w:type="dxa"/>
              <w:left w:w="12" w:type="dxa"/>
              <w:right w:w="12" w:type="dxa"/>
            </w:tcMar>
            <w:vAlign w:val="center"/>
          </w:tcPr>
          <w:p>
            <w:pPr>
              <w:widowControl/>
              <w:jc w:val="center"/>
              <w:textAlignment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6AT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2" w:hRule="atLeast"/>
        </w:trPr>
        <w:tc>
          <w:tcPr>
            <w:tcW w:w="1090" w:type="dxa"/>
            <w:noWrap/>
            <w:tcMar>
              <w:top w:w="12" w:type="dxa"/>
              <w:left w:w="12" w:type="dxa"/>
              <w:right w:w="12" w:type="dxa"/>
            </w:tcMar>
            <w:vAlign w:val="center"/>
          </w:tcPr>
          <w:p>
            <w:pPr>
              <w:widowControl/>
              <w:jc w:val="center"/>
              <w:textAlignment w:val="center"/>
              <w:rPr>
                <w:rFonts w:hint="eastAsia" w:ascii="宋体" w:hAnsi="宋体" w:cs="宋体"/>
                <w:color w:val="000000" w:themeColor="text1"/>
                <w:kern w:val="0"/>
                <w:sz w:val="24"/>
                <w:highlight w:val="none"/>
                <w:lang w:bidi="ar"/>
                <w14:textFill>
                  <w14:solidFill>
                    <w14:schemeClr w14:val="tx1"/>
                  </w14:solidFill>
                </w14:textFill>
              </w:rPr>
            </w:pPr>
            <w:r>
              <w:rPr>
                <w:rFonts w:hint="eastAsia" w:ascii="宋体" w:hAnsi="宋体" w:cs="宋体"/>
                <w:b/>
                <w:color w:val="000000" w:themeColor="text1"/>
                <w:kern w:val="0"/>
                <w:sz w:val="24"/>
                <w:highlight w:val="none"/>
                <w:lang w:bidi="ar"/>
                <w14:textFill>
                  <w14:solidFill>
                    <w14:schemeClr w14:val="tx1"/>
                  </w14:solidFill>
                </w14:textFill>
              </w:rPr>
              <w:t>配置</w:t>
            </w:r>
          </w:p>
        </w:tc>
        <w:tc>
          <w:tcPr>
            <w:tcW w:w="9709" w:type="dxa"/>
            <w:gridSpan w:val="3"/>
            <w:noWrap/>
            <w:tcMar>
              <w:top w:w="12" w:type="dxa"/>
              <w:left w:w="12" w:type="dxa"/>
              <w:right w:w="12" w:type="dxa"/>
            </w:tcMar>
            <w:vAlign w:val="center"/>
          </w:tcPr>
          <w:p>
            <w:pPr>
              <w:widowControl/>
              <w:spacing w:line="240" w:lineRule="auto"/>
              <w:jc w:val="left"/>
              <w:textAlignment w:val="center"/>
              <w:rPr>
                <w:rFonts w:hint="eastAsia" w:ascii="宋体" w:hAnsi="宋体" w:cs="宋体"/>
                <w:color w:val="000000" w:themeColor="text1"/>
                <w:kern w:val="0"/>
                <w:sz w:val="18"/>
                <w:szCs w:val="18"/>
                <w:highlight w:val="none"/>
                <w:lang w:val="en-US" w:eastAsia="zh-CN" w:bidi="ar"/>
                <w14:textFill>
                  <w14:solidFill>
                    <w14:schemeClr w14:val="tx1"/>
                  </w14:solidFill>
                </w14:textFill>
              </w:rPr>
            </w:pPr>
            <w:r>
              <w:rPr>
                <w:rFonts w:hint="eastAsia" w:ascii="宋体" w:hAnsi="宋体" w:cs="宋体"/>
                <w:color w:val="000000" w:themeColor="text1"/>
                <w:kern w:val="0"/>
                <w:sz w:val="18"/>
                <w:szCs w:val="18"/>
                <w:highlight w:val="none"/>
                <w:lang w:val="en-US" w:eastAsia="zh-CN" w:bidi="ar"/>
                <w14:textFill>
                  <w14:solidFill>
                    <w14:schemeClr w14:val="tx1"/>
                  </w14:solidFill>
                </w14:textFill>
              </w:rPr>
              <w:t>1.颜色：黑色；</w:t>
            </w:r>
          </w:p>
          <w:p>
            <w:pPr>
              <w:widowControl/>
              <w:spacing w:line="240" w:lineRule="auto"/>
              <w:jc w:val="left"/>
              <w:textAlignment w:val="center"/>
              <w:rPr>
                <w:rFonts w:hint="eastAsia" w:ascii="仿宋_GB2312" w:eastAsia="仿宋_GB2312" w:cs="黑体" w:hAnsiTheme="majorEastAsia"/>
                <w:bCs/>
                <w:color w:val="000000" w:themeColor="text1"/>
                <w:sz w:val="28"/>
                <w:szCs w:val="28"/>
                <w:highlight w:val="none"/>
                <w14:textFill>
                  <w14:solidFill>
                    <w14:schemeClr w14:val="tx1"/>
                  </w14:solidFill>
                </w14:textFill>
              </w:rPr>
            </w:pPr>
            <w:r>
              <w:rPr>
                <w:rFonts w:hint="eastAsia" w:ascii="宋体" w:hAnsi="宋体" w:cs="宋体"/>
                <w:color w:val="000000" w:themeColor="text1"/>
                <w:kern w:val="0"/>
                <w:sz w:val="18"/>
                <w:szCs w:val="18"/>
                <w:highlight w:val="none"/>
                <w:lang w:val="en-US" w:eastAsia="zh-CN" w:bidi="ar"/>
                <w14:textFill>
                  <w14:solidFill>
                    <w14:schemeClr w14:val="tx1"/>
                  </w14:solidFill>
                </w14:textFill>
              </w:rPr>
              <w:t>2.</w:t>
            </w:r>
            <w:r>
              <w:rPr>
                <w:rFonts w:hint="eastAsia" w:ascii="宋体" w:hAnsi="宋体" w:cs="宋体" w:eastAsiaTheme="minorEastAsia"/>
                <w:color w:val="000000" w:themeColor="text1"/>
                <w:kern w:val="0"/>
                <w:sz w:val="18"/>
                <w:szCs w:val="18"/>
                <w:highlight w:val="none"/>
                <w:lang w:bidi="ar"/>
                <w14:textFill>
                  <w14:solidFill>
                    <w14:schemeClr w14:val="tx1"/>
                  </w14:solidFill>
                </w14:textFill>
              </w:rPr>
              <w:t>首次</w:t>
            </w:r>
            <w:r>
              <w:rPr>
                <w:rFonts w:hint="eastAsia" w:ascii="宋体" w:hAnsi="宋体" w:cs="宋体" w:eastAsiaTheme="minorEastAsia"/>
                <w:color w:val="000000" w:themeColor="text1"/>
                <w:kern w:val="0"/>
                <w:sz w:val="18"/>
                <w:szCs w:val="18"/>
                <w:highlight w:val="none"/>
                <w:lang w:val="en-US" w:eastAsia="zh-CN" w:bidi="ar"/>
                <w14:textFill>
                  <w14:solidFill>
                    <w14:schemeClr w14:val="tx1"/>
                  </w14:solidFill>
                </w14:textFill>
              </w:rPr>
              <w:t>4年或10万公里免费保养</w:t>
            </w:r>
            <w:r>
              <w:rPr>
                <w:rFonts w:hint="eastAsia" w:ascii="宋体" w:hAnsi="宋体" w:cs="宋体" w:eastAsiaTheme="minorEastAsia"/>
                <w:bCs w:val="0"/>
                <w:color w:val="000000" w:themeColor="text1"/>
                <w:kern w:val="0"/>
                <w:sz w:val="18"/>
                <w:szCs w:val="18"/>
                <w:highlight w:val="none"/>
                <w:lang w:bidi="ar"/>
                <w14:textFill>
                  <w14:solidFill>
                    <w14:schemeClr w14:val="tx1"/>
                  </w14:solidFill>
                </w14:textFill>
              </w:rPr>
              <w:t>（年限指从发票开具之日起。公里是指里程表的读数，以先到者为准</w:t>
            </w:r>
            <w:r>
              <w:rPr>
                <w:rFonts w:hint="eastAsia" w:ascii="仿宋_GB2312" w:eastAsia="仿宋_GB2312" w:cs="黑体" w:hAnsiTheme="majorEastAsia"/>
                <w:bCs/>
                <w:color w:val="000000" w:themeColor="text1"/>
                <w:sz w:val="28"/>
                <w:szCs w:val="28"/>
                <w:highlight w:val="none"/>
                <w14:textFill>
                  <w14:solidFill>
                    <w14:schemeClr w14:val="tx1"/>
                  </w14:solidFill>
                </w14:textFill>
              </w:rPr>
              <w:t>）</w:t>
            </w:r>
          </w:p>
          <w:p>
            <w:pPr>
              <w:widowControl/>
              <w:spacing w:line="240" w:lineRule="auto"/>
              <w:jc w:val="left"/>
              <w:textAlignment w:val="center"/>
              <w:rPr>
                <w:rFonts w:hint="eastAsia" w:ascii="宋体" w:hAnsi="宋体" w:cs="宋体" w:eastAsiaTheme="minorEastAsia"/>
                <w:color w:val="000000" w:themeColor="text1"/>
                <w:kern w:val="0"/>
                <w:sz w:val="24"/>
                <w:highlight w:val="none"/>
                <w:lang w:val="en-US" w:eastAsia="zh-CN" w:bidi="ar"/>
                <w14:textFill>
                  <w14:solidFill>
                    <w14:schemeClr w14:val="tx1"/>
                  </w14:solidFill>
                </w14:textFill>
              </w:rPr>
            </w:pPr>
            <w:r>
              <w:rPr>
                <w:rFonts w:hint="eastAsia" w:ascii="宋体" w:hAnsi="宋体" w:cs="宋体"/>
                <w:color w:val="000000" w:themeColor="text1"/>
                <w:kern w:val="0"/>
                <w:sz w:val="18"/>
                <w:szCs w:val="18"/>
                <w:highlight w:val="none"/>
                <w:lang w:val="en-US" w:eastAsia="zh-CN" w:bidi="ar"/>
                <w14:textFill>
                  <w14:solidFill>
                    <w14:schemeClr w14:val="tx1"/>
                  </w14:solidFill>
                </w14:textFill>
              </w:rPr>
              <w:t>3.</w:t>
            </w:r>
            <w:r>
              <w:rPr>
                <w:rFonts w:hint="eastAsia" w:ascii="宋体" w:hAnsi="宋体" w:cs="宋体"/>
                <w:color w:val="000000" w:themeColor="text1"/>
                <w:kern w:val="0"/>
                <w:sz w:val="18"/>
                <w:szCs w:val="18"/>
                <w:highlight w:val="none"/>
                <w:lang w:bidi="ar"/>
                <w14:textFill>
                  <w14:solidFill>
                    <w14:schemeClr w14:val="tx1"/>
                  </w14:solidFill>
                </w14:textFill>
              </w:rPr>
              <w:t>安全气囊、定速巡航、手机无线充电、电加热外后视镜、自动大灯</w:t>
            </w:r>
            <w:r>
              <w:rPr>
                <w:rFonts w:hint="eastAsia" w:ascii="宋体" w:hAnsi="宋体" w:cs="宋体"/>
                <w:color w:val="000000" w:themeColor="text1"/>
                <w:kern w:val="0"/>
                <w:sz w:val="18"/>
                <w:szCs w:val="18"/>
                <w:highlight w:val="none"/>
                <w:lang w:eastAsia="zh-CN" w:bidi="ar"/>
                <w14:textFill>
                  <w14:solidFill>
                    <w14:schemeClr w14:val="tx1"/>
                  </w14:solidFill>
                </w14:textFill>
              </w:rPr>
              <w:t>；</w:t>
            </w:r>
            <w:r>
              <w:rPr>
                <w:rFonts w:hint="eastAsia" w:ascii="宋体" w:hAnsi="宋体" w:cs="宋体"/>
                <w:color w:val="000000" w:themeColor="text1"/>
                <w:kern w:val="0"/>
                <w:sz w:val="18"/>
                <w:szCs w:val="18"/>
                <w:highlight w:val="none"/>
                <w:lang w:bidi="ar"/>
                <w14:textFill>
                  <w14:solidFill>
                    <w14:schemeClr w14:val="tx1"/>
                  </w14:solidFill>
                </w14:textFill>
              </w:rPr>
              <w:t>1.8T涡轮增压发动机+6AT变数箱+48V轻混系统、19寸轮毂</w:t>
            </w:r>
            <w:r>
              <w:rPr>
                <w:rFonts w:hint="eastAsia" w:ascii="宋体" w:hAnsi="宋体" w:cs="宋体"/>
                <w:color w:val="000000" w:themeColor="text1"/>
                <w:kern w:val="0"/>
                <w:sz w:val="18"/>
                <w:szCs w:val="18"/>
                <w:highlight w:val="none"/>
                <w:lang w:eastAsia="zh-CN" w:bidi="ar"/>
                <w14:textFill>
                  <w14:solidFill>
                    <w14:schemeClr w14:val="tx1"/>
                  </w14:solidFill>
                </w14:textFill>
              </w:rPr>
              <w:t>、</w:t>
            </w:r>
            <w:r>
              <w:rPr>
                <w:rFonts w:hint="eastAsia" w:ascii="宋体" w:hAnsi="宋体" w:cs="宋体"/>
                <w:color w:val="000000" w:themeColor="text1"/>
                <w:kern w:val="0"/>
                <w:sz w:val="18"/>
                <w:szCs w:val="18"/>
                <w:highlight w:val="none"/>
                <w:lang w:bidi="ar"/>
                <w14:textFill>
                  <w14:solidFill>
                    <w14:schemeClr w14:val="tx1"/>
                  </w14:solidFill>
                </w14:textFill>
              </w:rPr>
              <w:t>前防撞预警系统（FCW）、道路偏离预警系统（LDW）、主动制动系统（AEB）、主驾座椅8向电动调节、副驾座椅4向电动调节、自动防眩目内后视镜、智能互联及语音识别系统、前雾灯、智能远近光切换</w:t>
            </w:r>
            <w:r>
              <w:rPr>
                <w:rFonts w:hint="eastAsia" w:ascii="宋体" w:hAnsi="宋体" w:cs="宋体"/>
                <w:color w:val="000000" w:themeColor="text1"/>
                <w:kern w:val="0"/>
                <w:sz w:val="18"/>
                <w:szCs w:val="18"/>
                <w:highlight w:val="none"/>
                <w:lang w:eastAsia="zh-CN" w:bidi="ar"/>
                <w14:textFill>
                  <w14:solidFill>
                    <w14:schemeClr w14:val="tx1"/>
                  </w14:solidFill>
                </w14:textFill>
              </w:rPr>
              <w:t>；</w:t>
            </w:r>
            <w:r>
              <w:rPr>
                <w:rFonts w:hint="eastAsia" w:ascii="宋体" w:hAnsi="宋体" w:cs="宋体"/>
                <w:color w:val="000000" w:themeColor="text1"/>
                <w:kern w:val="0"/>
                <w:sz w:val="18"/>
                <w:szCs w:val="18"/>
                <w:highlight w:val="none"/>
                <w:lang w:bidi="ar"/>
                <w14:textFill>
                  <w14:solidFill>
                    <w14:schemeClr w14:val="tx1"/>
                  </w14:solidFill>
                </w14:textFill>
              </w:rPr>
              <w:t>全景天窗、前4探头驻车雷达、倒车影像系统、ACC主动巡航系统、前门无钥匙进入功能、副驾座椅后排老板键调节、前排座椅加热、64色车内氛围灯、后备箱感应开启、BOSE品牌音响、11扬声器</w:t>
            </w:r>
            <w:r>
              <w:rPr>
                <w:rFonts w:hint="eastAsia" w:ascii="宋体" w:hAnsi="宋体" w:cs="宋体"/>
                <w:color w:val="000000" w:themeColor="text1"/>
                <w:kern w:val="0"/>
                <w:sz w:val="18"/>
                <w:szCs w:val="18"/>
                <w:highlight w:val="none"/>
                <w:lang w:eastAsia="zh-CN" w:bidi="ar"/>
                <w14:textFill>
                  <w14:solidFill>
                    <w14:schemeClr w14:val="tx1"/>
                  </w14:solidFill>
                </w14:textFill>
              </w:rPr>
              <w:t>；</w:t>
            </w:r>
            <w:r>
              <w:rPr>
                <w:rFonts w:hint="eastAsia" w:ascii="宋体" w:hAnsi="宋体" w:cs="宋体"/>
                <w:color w:val="000000" w:themeColor="text1"/>
                <w:kern w:val="0"/>
                <w:sz w:val="18"/>
                <w:szCs w:val="18"/>
                <w:highlight w:val="none"/>
                <w:lang w:bidi="ar"/>
                <w14:textFill>
                  <w14:solidFill>
                    <w14:schemeClr w14:val="tx1"/>
                  </w14:solidFill>
                </w14:textFill>
              </w:rPr>
              <w:t>360全景影像、盲区监测（并线辅助）、真皮打孔座椅、主驾座椅10向电动调节、前排座椅通风、后排舒适头枕、红旗之翼迎宾灯</w:t>
            </w:r>
            <w:r>
              <w:rPr>
                <w:rFonts w:hint="eastAsia" w:ascii="宋体" w:hAnsi="宋体" w:cs="宋体"/>
                <w:color w:val="000000" w:themeColor="text1"/>
                <w:kern w:val="0"/>
                <w:sz w:val="18"/>
                <w:szCs w:val="18"/>
                <w:highlight w:val="none"/>
                <w:lang w:val="en-US" w:eastAsia="zh-CN" w:bidi="ar"/>
                <w14:textFill>
                  <w14:solidFill>
                    <w14:schemeClr w14:val="tx1"/>
                  </w14:solidFill>
                </w14:textFill>
              </w:rPr>
              <w:t>;</w:t>
            </w:r>
            <w:r>
              <w:rPr>
                <w:rFonts w:hint="eastAsia" w:ascii="宋体" w:hAnsi="宋体" w:cs="宋体"/>
                <w:color w:val="000000" w:themeColor="text1"/>
                <w:kern w:val="0"/>
                <w:sz w:val="18"/>
                <w:szCs w:val="18"/>
                <w:highlight w:val="none"/>
                <w:lang w:bidi="ar"/>
                <w14:textFill>
                  <w14:solidFill>
                    <w14:schemeClr w14:val="tx1"/>
                  </w14:solidFill>
                </w14:textFill>
              </w:rPr>
              <w:t>主驾座椅及外后视镜记忆功能、后排座椅加热、隐私玻璃、自动泊车</w:t>
            </w:r>
            <w:r>
              <w:rPr>
                <w:rFonts w:hint="eastAsia" w:ascii="宋体" w:hAnsi="宋体" w:cs="宋体"/>
                <w:color w:val="000000" w:themeColor="text1"/>
                <w:kern w:val="0"/>
                <w:sz w:val="18"/>
                <w:szCs w:val="18"/>
                <w:highlight w:val="none"/>
                <w:lang w:eastAsia="zh-CN" w:bidi="ar"/>
                <w14:textFill>
                  <w14:solidFill>
                    <w14:schemeClr w14:val="tx1"/>
                  </w14:solidFill>
                </w14:textFill>
              </w:rPr>
              <w:t>。</w:t>
            </w:r>
          </w:p>
        </w:tc>
      </w:tr>
    </w:tbl>
    <w:p>
      <w:pPr>
        <w:pStyle w:val="10"/>
        <w:ind w:left="0" w:leftChars="0" w:firstLine="0" w:firstLineChars="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（1）红旗H5</w:t>
      </w:r>
      <w:r>
        <w:rPr>
          <w:rFonts w:hint="eastAsia" w:ascii="仿宋" w:hAnsi="仿宋" w:eastAsia="仿宋" w:cs="仿宋"/>
          <w:b/>
          <w:bCs/>
          <w:color w:val="auto"/>
          <w:sz w:val="28"/>
          <w:szCs w:val="28"/>
          <w:highlight w:val="none"/>
          <w:u w:val="none"/>
          <w:lang w:val="en-US" w:eastAsia="zh-CN"/>
        </w:rPr>
        <w:t>智联旗领版</w:t>
      </w:r>
      <w:r>
        <w:rPr>
          <w:rFonts w:hint="eastAsia" w:ascii="仿宋" w:hAnsi="仿宋" w:eastAsia="仿宋" w:cs="仿宋"/>
          <w:b/>
          <w:bCs/>
          <w:sz w:val="28"/>
          <w:szCs w:val="28"/>
          <w:lang w:val="en-US" w:eastAsia="zh-CN"/>
        </w:rPr>
        <w:t>参数配置</w:t>
      </w:r>
    </w:p>
    <w:p>
      <w:pPr>
        <w:pStyle w:val="10"/>
        <w:ind w:left="0" w:leftChars="0" w:firstLine="0" w:firstLineChars="0"/>
        <w:jc w:val="center"/>
        <w:rPr>
          <w:rFonts w:hint="eastAsia" w:ascii="仿宋" w:hAnsi="仿宋" w:eastAsia="仿宋" w:cs="仿宋"/>
          <w:b/>
          <w:bCs/>
          <w:sz w:val="28"/>
          <w:szCs w:val="28"/>
          <w:lang w:val="en-US" w:eastAsia="zh-CN"/>
        </w:rPr>
      </w:pPr>
    </w:p>
    <w:p>
      <w:pPr>
        <w:pStyle w:val="10"/>
        <w:ind w:left="0" w:leftChars="0" w:firstLine="0" w:firstLineChars="0"/>
        <w:jc w:val="center"/>
        <w:rPr>
          <w:rFonts w:hint="eastAsia" w:ascii="仿宋" w:hAnsi="仿宋" w:eastAsia="仿宋" w:cs="仿宋"/>
          <w:b/>
          <w:bCs/>
          <w:sz w:val="28"/>
          <w:szCs w:val="28"/>
          <w:lang w:val="en-US" w:eastAsia="zh-CN"/>
        </w:rPr>
      </w:pPr>
    </w:p>
    <w:p>
      <w:pPr>
        <w:pStyle w:val="10"/>
        <w:ind w:left="0" w:leftChars="0" w:firstLine="0" w:firstLineChars="0"/>
        <w:jc w:val="center"/>
        <w:rPr>
          <w:rFonts w:hint="eastAsia" w:ascii="仿宋" w:hAnsi="仿宋" w:eastAsia="仿宋" w:cs="仿宋"/>
          <w:b/>
          <w:bCs/>
          <w:sz w:val="28"/>
          <w:szCs w:val="28"/>
          <w:lang w:val="en-US" w:eastAsia="zh-CN"/>
        </w:rPr>
      </w:pPr>
    </w:p>
    <w:p>
      <w:pPr>
        <w:pStyle w:val="10"/>
        <w:ind w:left="0" w:leftChars="0" w:firstLine="0" w:firstLineChars="0"/>
        <w:jc w:val="center"/>
        <w:rPr>
          <w:rFonts w:hint="eastAsia" w:ascii="仿宋" w:hAnsi="仿宋" w:eastAsia="仿宋" w:cs="仿宋"/>
          <w:b/>
          <w:bCs/>
          <w:sz w:val="28"/>
          <w:szCs w:val="28"/>
          <w:lang w:val="en-US" w:eastAsia="zh-CN"/>
        </w:rPr>
      </w:pPr>
    </w:p>
    <w:p>
      <w:pPr>
        <w:pStyle w:val="10"/>
        <w:ind w:left="0" w:leftChars="0" w:firstLine="0" w:firstLineChars="0"/>
        <w:jc w:val="center"/>
        <w:rPr>
          <w:rFonts w:hint="eastAsia" w:ascii="仿宋" w:hAnsi="仿宋" w:eastAsia="仿宋" w:cs="仿宋"/>
          <w:b/>
          <w:bCs/>
          <w:sz w:val="28"/>
          <w:szCs w:val="28"/>
          <w:lang w:val="en-US" w:eastAsia="zh-CN"/>
        </w:rPr>
      </w:pPr>
    </w:p>
    <w:p>
      <w:pPr>
        <w:pStyle w:val="10"/>
        <w:ind w:left="0" w:leftChars="0" w:firstLine="0" w:firstLineChars="0"/>
        <w:jc w:val="both"/>
        <w:rPr>
          <w:rFonts w:hint="eastAsia" w:ascii="仿宋" w:hAnsi="仿宋" w:eastAsia="仿宋" w:cs="仿宋"/>
          <w:b/>
          <w:bCs/>
          <w:sz w:val="28"/>
          <w:szCs w:val="28"/>
          <w:lang w:val="en-US" w:eastAsia="zh-CN"/>
        </w:rPr>
      </w:pPr>
    </w:p>
    <w:p>
      <w:pPr>
        <w:pStyle w:val="10"/>
        <w:numPr>
          <w:ilvl w:val="0"/>
          <w:numId w:val="3"/>
        </w:numPr>
        <w:ind w:left="0" w:leftChars="0" w:firstLine="0" w:firstLineChars="0"/>
        <w:jc w:val="both"/>
        <w:rPr>
          <w:rFonts w:hint="eastAsia" w:ascii="仿宋" w:hAnsi="仿宋" w:eastAsia="仿宋" w:cs="仿宋"/>
          <w:b/>
          <w:bCs/>
          <w:sz w:val="28"/>
          <w:szCs w:val="28"/>
          <w:lang w:val="en-US" w:eastAsia="zh-CN"/>
        </w:rPr>
      </w:pPr>
      <w:r>
        <w:rPr>
          <w:rFonts w:hint="eastAsia" w:ascii="宋体" w:hAnsi="宋体" w:cs="仿宋_GB2312"/>
          <w:sz w:val="30"/>
          <w:szCs w:val="30"/>
        </w:rPr>
        <w:t>别克君越2021款</w:t>
      </w:r>
    </w:p>
    <w:tbl>
      <w:tblPr>
        <w:tblStyle w:val="11"/>
        <w:tblW w:w="7845" w:type="dxa"/>
        <w:tblInd w:w="93" w:type="dxa"/>
        <w:shd w:val="clear" w:color="auto" w:fill="auto"/>
        <w:tblLayout w:type="autofit"/>
        <w:tblCellMar>
          <w:top w:w="0" w:type="dxa"/>
          <w:left w:w="108" w:type="dxa"/>
          <w:bottom w:w="0" w:type="dxa"/>
          <w:right w:w="108" w:type="dxa"/>
        </w:tblCellMar>
      </w:tblPr>
      <w:tblGrid>
        <w:gridCol w:w="3300"/>
        <w:gridCol w:w="1080"/>
        <w:gridCol w:w="3465"/>
      </w:tblGrid>
      <w:tr>
        <w:tblPrEx>
          <w:shd w:val="clear" w:color="auto" w:fill="auto"/>
          <w:tblCellMar>
            <w:top w:w="0" w:type="dxa"/>
            <w:left w:w="108" w:type="dxa"/>
            <w:bottom w:w="0" w:type="dxa"/>
            <w:right w:w="108" w:type="dxa"/>
          </w:tblCellMar>
        </w:tblPrEx>
        <w:trPr>
          <w:trHeight w:val="297" w:hRule="atLeast"/>
        </w:trPr>
        <w:tc>
          <w:tcPr>
            <w:tcW w:w="784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品牌系列</w:t>
            </w:r>
          </w:p>
        </w:tc>
      </w:tr>
      <w:tr>
        <w:tblPrEx>
          <w:tblCellMar>
            <w:top w:w="0" w:type="dxa"/>
            <w:left w:w="108" w:type="dxa"/>
            <w:bottom w:w="0" w:type="dxa"/>
            <w:right w:w="108" w:type="dxa"/>
          </w:tblCellMar>
        </w:tblPrEx>
        <w:trPr>
          <w:trHeight w:val="394"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　</w:t>
            </w:r>
            <w:r>
              <w:rPr>
                <w:rStyle w:val="22"/>
                <w:rFonts w:eastAsia="宋体"/>
                <w:lang w:val="en-US" w:eastAsia="zh-CN" w:bidi="ar"/>
              </w:rPr>
              <w:t xml:space="preserve">  </w:t>
            </w:r>
            <w:r>
              <w:rPr>
                <w:rStyle w:val="23"/>
                <w:lang w:val="en-US" w:eastAsia="zh-CN" w:bidi="ar"/>
              </w:rPr>
              <w:t>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招标人要求值</w:t>
            </w:r>
          </w:p>
        </w:tc>
      </w:tr>
      <w:tr>
        <w:tblPrEx>
          <w:tblCellMar>
            <w:top w:w="0" w:type="dxa"/>
            <w:left w:w="108" w:type="dxa"/>
            <w:bottom w:w="0" w:type="dxa"/>
            <w:right w:w="108" w:type="dxa"/>
          </w:tblCellMar>
        </w:tblPrEx>
        <w:trPr>
          <w:trHeight w:val="327" w:hRule="atLeast"/>
        </w:trPr>
        <w:tc>
          <w:tcPr>
            <w:tcW w:w="784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一、发动机</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发动机制造商和型号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22"/>
                <w:rFonts w:eastAsia="宋体"/>
                <w:lang w:val="en-US" w:eastAsia="zh-CN" w:bidi="ar"/>
              </w:rPr>
              <w:t>1.5T,</w:t>
            </w:r>
            <w:r>
              <w:rPr>
                <w:rStyle w:val="23"/>
                <w:lang w:val="en-US" w:eastAsia="zh-CN" w:bidi="ar"/>
              </w:rPr>
              <w:t>≥1.4T</w:t>
            </w:r>
          </w:p>
        </w:tc>
      </w:tr>
      <w:tr>
        <w:tblPrEx>
          <w:tblCellMar>
            <w:top w:w="0" w:type="dxa"/>
            <w:left w:w="108" w:type="dxa"/>
            <w:bottom w:w="0" w:type="dxa"/>
            <w:right w:w="108" w:type="dxa"/>
          </w:tblCellMar>
        </w:tblPrEx>
        <w:trPr>
          <w:trHeight w:val="60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发动机制造时间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车辆交付使用之日前</w:t>
            </w:r>
            <w:r>
              <w:rPr>
                <w:rStyle w:val="22"/>
                <w:rFonts w:eastAsia="宋体"/>
                <w:lang w:val="en-US" w:eastAsia="zh-CN" w:bidi="ar"/>
              </w:rPr>
              <w:t>3</w:t>
            </w:r>
            <w:r>
              <w:rPr>
                <w:rStyle w:val="23"/>
                <w:lang w:val="en-US" w:eastAsia="zh-CN" w:bidi="ar"/>
              </w:rPr>
              <w:t>个月内制造</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车辆最大扭矩</w:t>
            </w:r>
            <w:r>
              <w:rPr>
                <w:rStyle w:val="22"/>
                <w:rFonts w:eastAsia="宋体"/>
                <w:lang w:val="en-US" w:eastAsia="zh-CN" w:bidi="ar"/>
              </w:rPr>
              <w:t>/</w:t>
            </w:r>
            <w:r>
              <w:rPr>
                <w:rStyle w:val="23"/>
                <w:lang w:val="en-US" w:eastAsia="zh-CN" w:bidi="ar"/>
              </w:rPr>
              <w:t>最大马力</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≤250/≥150</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Kw</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23"/>
                <w:lang w:val="en-US" w:eastAsia="zh-CN" w:bidi="ar"/>
              </w:rPr>
              <w:t>124</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变速箱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9速HYDRA-MATIC智能变速箱</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最高车速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km/h</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燃料种类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汽油</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整车油耗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L/100km</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排放依据标准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国VI</w:t>
            </w:r>
          </w:p>
        </w:tc>
      </w:tr>
      <w:tr>
        <w:tblPrEx>
          <w:tblCellMar>
            <w:top w:w="0" w:type="dxa"/>
            <w:left w:w="108" w:type="dxa"/>
            <w:bottom w:w="0" w:type="dxa"/>
            <w:right w:w="108" w:type="dxa"/>
          </w:tblCellMar>
        </w:tblPrEx>
        <w:trPr>
          <w:trHeight w:val="36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转向形式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EPS车速感应电子动力转向系统或电子</w:t>
            </w:r>
          </w:p>
        </w:tc>
      </w:tr>
      <w:tr>
        <w:tblPrEx>
          <w:tblCellMar>
            <w:top w:w="0" w:type="dxa"/>
            <w:left w:w="108" w:type="dxa"/>
            <w:bottom w:w="0" w:type="dxa"/>
            <w:right w:w="108" w:type="dxa"/>
          </w:tblCellMar>
        </w:tblPrEx>
        <w:trPr>
          <w:trHeight w:val="327" w:hRule="atLeast"/>
        </w:trPr>
        <w:tc>
          <w:tcPr>
            <w:tcW w:w="4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二、动力传动系统</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驱动方式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前置前驱</w:t>
            </w:r>
          </w:p>
        </w:tc>
      </w:tr>
      <w:tr>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轴数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二轴</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轴距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mm</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23"/>
                <w:lang w:val="en-US" w:eastAsia="zh-CN" w:bidi="ar"/>
              </w:rPr>
              <w:t>2905</w:t>
            </w:r>
          </w:p>
        </w:tc>
      </w:tr>
      <w:tr>
        <w:tblPrEx>
          <w:tblCellMar>
            <w:top w:w="0" w:type="dxa"/>
            <w:left w:w="108" w:type="dxa"/>
            <w:bottom w:w="0" w:type="dxa"/>
            <w:right w:w="108" w:type="dxa"/>
          </w:tblCellMar>
        </w:tblPrEx>
        <w:trPr>
          <w:trHeight w:val="5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汽车底盘制造商和型号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要求与整车主流车型配套，与整车同源优选</w:t>
            </w:r>
          </w:p>
        </w:tc>
      </w:tr>
      <w:tr>
        <w:tblPrEx>
          <w:tblCellMar>
            <w:top w:w="0" w:type="dxa"/>
            <w:left w:w="108" w:type="dxa"/>
            <w:bottom w:w="0" w:type="dxa"/>
            <w:right w:w="108" w:type="dxa"/>
          </w:tblCellMar>
        </w:tblPrEx>
        <w:trPr>
          <w:trHeight w:val="60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汽车底盘制造时间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车辆交付使用之日前</w:t>
            </w:r>
            <w:r>
              <w:rPr>
                <w:rStyle w:val="24"/>
                <w:rFonts w:eastAsia="宋体"/>
                <w:lang w:val="en-US" w:eastAsia="zh-CN" w:bidi="ar"/>
              </w:rPr>
              <w:t>3</w:t>
            </w:r>
            <w:r>
              <w:rPr>
                <w:rStyle w:val="23"/>
                <w:lang w:val="en-US" w:eastAsia="zh-CN" w:bidi="ar"/>
              </w:rPr>
              <w:t>个月内制造</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轮胎规格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宽≤235/55R17  轮毂半径≤17</w:t>
            </w:r>
          </w:p>
        </w:tc>
      </w:tr>
      <w:tr>
        <w:tblPrEx>
          <w:tblCellMar>
            <w:top w:w="0" w:type="dxa"/>
            <w:left w:w="108" w:type="dxa"/>
            <w:bottom w:w="0" w:type="dxa"/>
            <w:right w:w="108" w:type="dxa"/>
          </w:tblCellMar>
        </w:tblPrEx>
        <w:trPr>
          <w:trHeight w:val="312"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轮胎数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327" w:hRule="atLeast"/>
        </w:trPr>
        <w:tc>
          <w:tcPr>
            <w:tcW w:w="4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三、整车性能参数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支撑系统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最大爬坡角度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最小离地间隙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r>
              <w:rPr>
                <w:rStyle w:val="23"/>
                <w:lang w:val="en-US" w:eastAsia="zh-CN" w:bidi="ar"/>
              </w:rPr>
              <w:t>m</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车辆通过性能（涉水深度）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mm</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最高车速（车辆满载）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km/h</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驾驶室空调系统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冷暖空调</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整车噪声水平（距车辆</w:t>
            </w:r>
            <w:r>
              <w:rPr>
                <w:rStyle w:val="22"/>
                <w:rFonts w:eastAsia="宋体"/>
                <w:lang w:val="en-US" w:eastAsia="zh-CN" w:bidi="ar"/>
              </w:rPr>
              <w:t>1m</w:t>
            </w:r>
            <w:r>
              <w:rPr>
                <w:rStyle w:val="23"/>
                <w:lang w:val="en-US" w:eastAsia="zh-CN" w:bidi="ar"/>
              </w:rPr>
              <w:t>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dB</w:t>
            </w:r>
            <w:r>
              <w:rPr>
                <w:rStyle w:val="23"/>
                <w:lang w:val="en-US" w:eastAsia="zh-CN" w:bidi="ar"/>
              </w:rPr>
              <w:t>（</w:t>
            </w:r>
            <w:r>
              <w:rPr>
                <w:rStyle w:val="22"/>
                <w:rFonts w:eastAsia="宋体"/>
                <w:lang w:val="en-US" w:eastAsia="zh-CN" w:bidi="ar"/>
              </w:rPr>
              <w:t>A</w:t>
            </w:r>
            <w:r>
              <w:rPr>
                <w:rStyle w:val="23"/>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在投标车型公告参数许可范围内</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接近角</w:t>
            </w:r>
            <w:r>
              <w:rPr>
                <w:rStyle w:val="22"/>
                <w:rFonts w:eastAsia="宋体"/>
                <w:lang w:val="en-US" w:eastAsia="zh-CN" w:bidi="ar"/>
              </w:rPr>
              <w:t>/</w:t>
            </w:r>
            <w:r>
              <w:rPr>
                <w:rStyle w:val="23"/>
                <w:lang w:val="en-US" w:eastAsia="zh-CN" w:bidi="ar"/>
              </w:rPr>
              <w:t>离去角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在投标车型公告参数许可范围内</w:t>
            </w:r>
          </w:p>
        </w:tc>
      </w:tr>
      <w:tr>
        <w:tblPrEx>
          <w:tblCellMar>
            <w:top w:w="0" w:type="dxa"/>
            <w:left w:w="108" w:type="dxa"/>
            <w:bottom w:w="0" w:type="dxa"/>
            <w:right w:w="108" w:type="dxa"/>
          </w:tblCellMar>
        </w:tblPrEx>
        <w:trPr>
          <w:trHeight w:val="312"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驾驶室准乘人数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495" w:hRule="atLeast"/>
        </w:trPr>
        <w:tc>
          <w:tcPr>
            <w:tcW w:w="7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四、整车尺寸及质量</w:t>
            </w:r>
          </w:p>
        </w:tc>
      </w:tr>
      <w:tr>
        <w:tblPrEx>
          <w:tblCellMar>
            <w:top w:w="0" w:type="dxa"/>
            <w:left w:w="108" w:type="dxa"/>
            <w:bottom w:w="0" w:type="dxa"/>
            <w:right w:w="108" w:type="dxa"/>
          </w:tblCellMar>
        </w:tblPrEx>
        <w:trPr>
          <w:trHeight w:val="60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整车外形尺寸（长</w:t>
            </w:r>
            <w:r>
              <w:rPr>
                <w:rStyle w:val="23"/>
                <w:lang w:val="en-US" w:eastAsia="zh-CN" w:bidi="ar"/>
              </w:rPr>
              <w:t>×宽×高）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mm</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长≤5026，宽≤1866；高≤1459</w:t>
            </w:r>
          </w:p>
        </w:tc>
      </w:tr>
      <w:tr>
        <w:trPr>
          <w:trHeight w:val="5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货厢尺寸（长</w:t>
            </w:r>
            <w:r>
              <w:rPr>
                <w:rStyle w:val="23"/>
                <w:lang w:val="en-US" w:eastAsia="zh-CN" w:bidi="ar"/>
              </w:rPr>
              <w:t>×宽×高）</w:t>
            </w:r>
            <w:r>
              <w:rPr>
                <w:rStyle w:val="22"/>
                <w:rFonts w:eastAsia="宋体"/>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mm</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在投标车型公告参数许可范围内封闭式</w:t>
            </w:r>
          </w:p>
        </w:tc>
      </w:tr>
      <w:tr>
        <w:tblPrEx>
          <w:tblCellMar>
            <w:top w:w="0" w:type="dxa"/>
            <w:left w:w="108" w:type="dxa"/>
            <w:bottom w:w="0" w:type="dxa"/>
            <w:right w:w="108" w:type="dxa"/>
          </w:tblCellMar>
        </w:tblPrEx>
        <w:trPr>
          <w:trHeight w:val="5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悬挂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前麦弗逊式独立悬挂，后多连杆式独立悬挂</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轮距前</w:t>
            </w:r>
            <w:r>
              <w:rPr>
                <w:rStyle w:val="22"/>
                <w:rFonts w:eastAsia="宋体"/>
                <w:lang w:val="en-US" w:eastAsia="zh-CN" w:bidi="ar"/>
              </w:rPr>
              <w:t>/</w:t>
            </w:r>
            <w:r>
              <w:rPr>
                <w:rStyle w:val="23"/>
                <w:lang w:val="en-US" w:eastAsia="zh-CN" w:bidi="ar"/>
              </w:rPr>
              <w:t>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mm</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整备质量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kg</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≥1535</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后备箱容积</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523</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邮箱容积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额定装载质量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kg</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在投标车型公告参数许可范围内</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汽车底盘整备质量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kg</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在投标车型公告参数许可范围内</w:t>
            </w:r>
          </w:p>
        </w:tc>
      </w:tr>
      <w:tr>
        <w:tblPrEx>
          <w:tblCellMar>
            <w:top w:w="0" w:type="dxa"/>
            <w:left w:w="108" w:type="dxa"/>
            <w:bottom w:w="0" w:type="dxa"/>
            <w:right w:w="108" w:type="dxa"/>
          </w:tblCellMar>
        </w:tblPrEx>
        <w:trPr>
          <w:trHeight w:val="5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整车总质量（满油、满水、满员）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kg</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轴荷前</w:t>
            </w:r>
            <w:r>
              <w:rPr>
                <w:rStyle w:val="22"/>
                <w:rFonts w:eastAsia="宋体"/>
                <w:lang w:val="en-US" w:eastAsia="zh-CN" w:bidi="ar"/>
              </w:rPr>
              <w:t>/</w:t>
            </w:r>
            <w:r>
              <w:rPr>
                <w:rStyle w:val="23"/>
                <w:lang w:val="en-US" w:eastAsia="zh-CN" w:bidi="ar"/>
              </w:rPr>
              <w:t>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kg</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制动方式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前通风盘式，后盘式</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车身外部颜色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由招标人在标准色内选定</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车身外部标志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内部颜色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由招标人在标准色内选定</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五、安全配置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w:t>
            </w:r>
            <w:r>
              <w:rPr>
                <w:rStyle w:val="22"/>
                <w:rFonts w:eastAsia="宋体"/>
                <w:lang w:val="en-US" w:eastAsia="zh-CN" w:bidi="ar"/>
              </w:rPr>
              <w:t>/</w:t>
            </w:r>
            <w:r>
              <w:rPr>
                <w:rStyle w:val="23"/>
                <w:lang w:val="en-US" w:eastAsia="zh-CN" w:bidi="ar"/>
              </w:rPr>
              <w:t>副驾驶座安全气囊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主有</w:t>
            </w:r>
            <w:r>
              <w:rPr>
                <w:rStyle w:val="22"/>
                <w:rFonts w:eastAsia="宋体"/>
                <w:lang w:val="en-US" w:eastAsia="zh-CN" w:bidi="ar"/>
              </w:rPr>
              <w:t xml:space="preserve">  / </w:t>
            </w:r>
            <w:r>
              <w:rPr>
                <w:rStyle w:val="23"/>
                <w:lang w:val="en-US" w:eastAsia="zh-CN" w:bidi="ar"/>
              </w:rPr>
              <w:t>副有</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头部气囊</w:t>
            </w:r>
            <w:r>
              <w:rPr>
                <w:rStyle w:val="22"/>
                <w:rFonts w:eastAsia="宋体"/>
                <w:lang w:val="en-US" w:eastAsia="zh-CN" w:bidi="ar"/>
              </w:rPr>
              <w:t>(</w:t>
            </w:r>
            <w:r>
              <w:rPr>
                <w:rStyle w:val="23"/>
                <w:lang w:val="en-US" w:eastAsia="zh-CN" w:bidi="ar"/>
              </w:rPr>
              <w:t>气帘</w:t>
            </w:r>
            <w:r>
              <w:rPr>
                <w:rStyle w:val="22"/>
                <w:rFonts w:eastAsia="宋体"/>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侧气囊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胎压监测装置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安全带未系提示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发动机防盗锁止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车内中控锁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遥控钥匙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ABS防抱死：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OnStar安吉星助理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车载4GWI-FI</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eConnect互联技术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高德实时导航系统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车载app互联应用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OTA远程升级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Super ID个人账户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智能语音识别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智能手机映射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安吉星远程遥控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制动力分配</w:t>
            </w:r>
            <w:r>
              <w:rPr>
                <w:rStyle w:val="22"/>
                <w:rFonts w:eastAsia="宋体"/>
                <w:lang w:val="en-US" w:eastAsia="zh-CN" w:bidi="ar"/>
              </w:rPr>
              <w:t>(EBD/CBC</w:t>
            </w:r>
            <w:r>
              <w:rPr>
                <w:rStyle w:val="23"/>
                <w:lang w:val="en-US" w:eastAsia="zh-CN" w:bidi="ar"/>
              </w:rPr>
              <w:t>等</w:t>
            </w:r>
            <w:r>
              <w:rPr>
                <w:rStyle w:val="22"/>
                <w:rFonts w:eastAsia="宋体"/>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刹车辅助</w:t>
            </w:r>
            <w:r>
              <w:rPr>
                <w:rStyle w:val="22"/>
                <w:rFonts w:eastAsia="宋体"/>
                <w:lang w:val="en-US" w:eastAsia="zh-CN" w:bidi="ar"/>
              </w:rPr>
              <w:t>(EBA/BAS/BA</w:t>
            </w:r>
            <w:r>
              <w:rPr>
                <w:rStyle w:val="23"/>
                <w:lang w:val="en-US" w:eastAsia="zh-CN" w:bidi="ar"/>
              </w:rPr>
              <w:t>等</w:t>
            </w:r>
            <w:r>
              <w:rPr>
                <w:rStyle w:val="22"/>
                <w:rFonts w:eastAsia="宋体"/>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牵引力控制</w:t>
            </w:r>
            <w:r>
              <w:rPr>
                <w:rStyle w:val="22"/>
                <w:rFonts w:eastAsia="宋体"/>
                <w:lang w:val="en-US" w:eastAsia="zh-CN" w:bidi="ar"/>
              </w:rPr>
              <w:t>(ASR/TCS</w:t>
            </w:r>
            <w:r>
              <w:rPr>
                <w:rStyle w:val="23"/>
                <w:lang w:val="en-US" w:eastAsia="zh-CN" w:bidi="ar"/>
              </w:rPr>
              <w:t>等</w:t>
            </w:r>
            <w:r>
              <w:rPr>
                <w:rStyle w:val="22"/>
                <w:rFonts w:eastAsia="宋体"/>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车身稳定控制</w:t>
            </w:r>
            <w:r>
              <w:rPr>
                <w:rStyle w:val="22"/>
                <w:rFonts w:eastAsia="宋体"/>
                <w:lang w:val="en-US" w:eastAsia="zh-CN" w:bidi="ar"/>
              </w:rPr>
              <w:t>(ESP/DSC</w:t>
            </w:r>
            <w:r>
              <w:rPr>
                <w:rStyle w:val="23"/>
                <w:lang w:val="en-US" w:eastAsia="zh-CN" w:bidi="ar"/>
              </w:rPr>
              <w:t>等</w:t>
            </w:r>
            <w:r>
              <w:rPr>
                <w:rStyle w:val="22"/>
                <w:rFonts w:eastAsia="宋体"/>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EHHSA增强型坡道辅助系统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TPMS智能胎压监测系统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SBZA侧盲区预警系统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LCA车道变更辅助系统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RCTA泊车预警系统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四门自动落锁系统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行人碰撞主动谈起式引擎盖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上坡辅助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自动驻车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真皮方向盘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方向盘调节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多功能方向盘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泊车雷达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定速巡航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无钥匙启动系统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行车电脑显示屏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真皮</w:t>
            </w:r>
            <w:r>
              <w:rPr>
                <w:rStyle w:val="22"/>
                <w:rFonts w:eastAsia="宋体"/>
                <w:lang w:val="en-US" w:eastAsia="zh-CN" w:bidi="ar"/>
              </w:rPr>
              <w:t>/</w:t>
            </w:r>
            <w:r>
              <w:rPr>
                <w:rStyle w:val="23"/>
                <w:lang w:val="en-US" w:eastAsia="zh-CN" w:bidi="ar"/>
              </w:rPr>
              <w:t>仿皮座椅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座椅高低调节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w:t>
            </w:r>
            <w:r>
              <w:rPr>
                <w:rStyle w:val="22"/>
                <w:rFonts w:eastAsia="宋体"/>
                <w:lang w:val="en-US" w:eastAsia="zh-CN" w:bidi="ar"/>
              </w:rPr>
              <w:t>/</w:t>
            </w:r>
            <w:r>
              <w:rPr>
                <w:rStyle w:val="23"/>
                <w:lang w:val="en-US" w:eastAsia="zh-CN" w:bidi="ar"/>
              </w:rPr>
              <w:t>副驾驶座电动调节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腰部支撑调节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座椅加热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后排座椅按比例放倒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中央扶手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后排杯架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蓝牙</w:t>
            </w:r>
            <w:r>
              <w:rPr>
                <w:rStyle w:val="22"/>
                <w:rFonts w:eastAsia="宋体"/>
                <w:lang w:val="en-US" w:eastAsia="zh-CN" w:bidi="ar"/>
              </w:rPr>
              <w:t>/</w:t>
            </w:r>
            <w:r>
              <w:rPr>
                <w:rStyle w:val="23"/>
                <w:lang w:val="en-US" w:eastAsia="zh-CN" w:bidi="ar"/>
              </w:rPr>
              <w:t>车载电话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中控台彩色大屏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触控液晶屏</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后排液晶屏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语音控制系统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8喇叭以上扬声器系统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LED大灯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LED日间行车灯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LED尾灯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LED高位刹车灯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LED转向灯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全LED顶衬照明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外后视镜折叠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月光白环绕氛围灯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超大中央储物格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中央扶手下方储物盒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后排可折叠中央扶手带杯托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冷峻黑高级真皮内饰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飞翼式镀铬进气格栅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激光大灯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前雾灯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大灯高度可调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自动头灯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俩片式超大全景天窗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隐藏式后盖开启按钮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鲨鱼鳍综合信号接收天线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全框式车窗镀铬饰条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EYRS电子排档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ANC主动降噪科技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发动机远程启动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大灯伴你回家功能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纳米级防PM2.5空调滤芯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AQS空气质量控制系统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AVL随速音量调节系统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弯道辅助照明灯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电动车窗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车窗防夹手功能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防紫外线</w:t>
            </w:r>
            <w:r>
              <w:rPr>
                <w:rStyle w:val="22"/>
                <w:rFonts w:eastAsia="宋体"/>
                <w:lang w:val="en-US" w:eastAsia="zh-CN" w:bidi="ar"/>
              </w:rPr>
              <w:t>/</w:t>
            </w:r>
            <w:r>
              <w:rPr>
                <w:rStyle w:val="23"/>
                <w:lang w:val="en-US" w:eastAsia="zh-CN" w:bidi="ar"/>
              </w:rPr>
              <w:t>隔热玻璃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电动后视镜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后视镜加热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遮阳板化妆镜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间歇式无骨雨刷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雨量感应雨刷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后排双USB充电借口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自动空调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后排独立空调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后排出风口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28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温度分区控制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315"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空气净化</w:t>
            </w:r>
            <w:r>
              <w:rPr>
                <w:rStyle w:val="22"/>
                <w:rFonts w:eastAsia="宋体"/>
                <w:lang w:val="en-US" w:eastAsia="zh-CN" w:bidi="ar"/>
              </w:rPr>
              <w:t>/</w:t>
            </w:r>
            <w:r>
              <w:rPr>
                <w:rStyle w:val="23"/>
                <w:lang w:val="en-US" w:eastAsia="zh-CN" w:bidi="ar"/>
              </w:rPr>
              <w:t>花粉过滤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bl>
    <w:p>
      <w:pPr>
        <w:pStyle w:val="10"/>
        <w:numPr>
          <w:ilvl w:val="0"/>
          <w:numId w:val="0"/>
        </w:numPr>
        <w:ind w:leftChars="0"/>
        <w:jc w:val="both"/>
        <w:rPr>
          <w:rFonts w:hint="eastAsia" w:ascii="宋体" w:hAnsi="宋体" w:cs="仿宋_GB2312"/>
          <w:sz w:val="30"/>
          <w:szCs w:val="30"/>
        </w:rPr>
      </w:pPr>
    </w:p>
    <w:p>
      <w:pPr>
        <w:pStyle w:val="10"/>
        <w:ind w:left="0" w:leftChars="0" w:firstLine="0" w:firstLineChars="0"/>
        <w:jc w:val="both"/>
        <w:rPr>
          <w:rFonts w:hint="default" w:ascii="仿宋" w:hAnsi="仿宋" w:eastAsia="仿宋" w:cs="仿宋"/>
          <w:b/>
          <w:bCs/>
          <w:sz w:val="28"/>
          <w:szCs w:val="28"/>
          <w:lang w:val="en-US" w:eastAsia="zh-CN"/>
        </w:rPr>
      </w:pPr>
    </w:p>
    <w:p>
      <w:pPr>
        <w:pStyle w:val="10"/>
        <w:ind w:left="0" w:leftChars="0" w:firstLine="0" w:firstLineChars="0"/>
        <w:jc w:val="both"/>
        <w:rPr>
          <w:rFonts w:hint="default" w:ascii="仿宋" w:hAnsi="仿宋" w:eastAsia="仿宋" w:cs="仿宋"/>
          <w:b/>
          <w:bCs/>
          <w:sz w:val="28"/>
          <w:szCs w:val="28"/>
          <w:lang w:val="en-US" w:eastAsia="zh-CN"/>
        </w:rPr>
      </w:pPr>
    </w:p>
    <w:p>
      <w:pPr>
        <w:pStyle w:val="10"/>
        <w:ind w:left="0" w:leftChars="0" w:firstLine="0" w:firstLineChars="0"/>
        <w:jc w:val="both"/>
        <w:rPr>
          <w:rFonts w:hint="default" w:ascii="仿宋" w:hAnsi="仿宋" w:eastAsia="仿宋" w:cs="仿宋"/>
          <w:b/>
          <w:bCs/>
          <w:sz w:val="28"/>
          <w:szCs w:val="28"/>
          <w:lang w:val="en-US" w:eastAsia="zh-CN"/>
        </w:rPr>
      </w:pPr>
    </w:p>
    <w:p>
      <w:pPr>
        <w:pStyle w:val="10"/>
        <w:ind w:left="0" w:leftChars="0" w:firstLine="0" w:firstLineChars="0"/>
        <w:jc w:val="both"/>
        <w:rPr>
          <w:rFonts w:hint="default" w:ascii="仿宋" w:hAnsi="仿宋" w:eastAsia="仿宋" w:cs="仿宋"/>
          <w:b/>
          <w:bCs/>
          <w:sz w:val="28"/>
          <w:szCs w:val="28"/>
          <w:lang w:val="en-US" w:eastAsia="zh-CN"/>
        </w:rPr>
      </w:pPr>
    </w:p>
    <w:p>
      <w:pPr>
        <w:pStyle w:val="10"/>
        <w:ind w:left="0" w:leftChars="0" w:firstLine="0" w:firstLineChars="0"/>
        <w:jc w:val="both"/>
        <w:rPr>
          <w:rFonts w:hint="eastAsia" w:ascii="仿宋" w:hAnsi="仿宋" w:eastAsia="仿宋" w:cs="仿宋"/>
          <w:b/>
          <w:bCs/>
          <w:sz w:val="28"/>
          <w:szCs w:val="28"/>
          <w:lang w:val="en-US" w:eastAsia="zh-CN"/>
        </w:rPr>
      </w:pPr>
    </w:p>
    <w:p>
      <w:pPr>
        <w:pStyle w:val="10"/>
        <w:numPr>
          <w:ilvl w:val="0"/>
          <w:numId w:val="0"/>
        </w:numPr>
        <w:ind w:leftChars="0"/>
        <w:jc w:val="both"/>
        <w:rPr>
          <w:rFonts w:hint="eastAsia" w:ascii="宋体" w:hAnsi="宋体" w:cs="仿宋_GB2312"/>
          <w:b/>
          <w:bCs/>
          <w:sz w:val="30"/>
          <w:szCs w:val="30"/>
        </w:rPr>
      </w:pPr>
      <w:r>
        <w:rPr>
          <w:rFonts w:hint="eastAsia" w:ascii="宋体" w:hAnsi="宋体" w:cs="仿宋_GB2312"/>
          <w:b/>
          <w:bCs/>
          <w:sz w:val="30"/>
          <w:szCs w:val="30"/>
          <w:lang w:val="en-US" w:eastAsia="zh-CN"/>
        </w:rPr>
        <w:t>(3)</w:t>
      </w:r>
      <w:r>
        <w:rPr>
          <w:rFonts w:hint="eastAsia" w:ascii="宋体" w:hAnsi="宋体" w:cs="仿宋_GB2312"/>
          <w:b/>
          <w:bCs/>
          <w:sz w:val="30"/>
          <w:szCs w:val="30"/>
        </w:rPr>
        <w:t>江铃域虎2020款，2.0T柴油自动档</w:t>
      </w:r>
    </w:p>
    <w:tbl>
      <w:tblPr>
        <w:tblStyle w:val="11"/>
        <w:tblW w:w="69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044"/>
        <w:gridCol w:w="3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auto"/>
              </w:rPr>
            </w:pP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auto"/>
              </w:rPr>
            </w:pPr>
            <w:r>
              <w:rPr>
                <w:rFonts w:hint="eastAsia"/>
                <w:color w:val="auto"/>
              </w:rPr>
              <w:t xml:space="preserve">域虎7 2.0T 手自一体 </w:t>
            </w:r>
            <w:r>
              <w:rPr>
                <w:rFonts w:hint="eastAsia"/>
                <w:color w:val="auto"/>
                <w:lang w:val="en-US" w:eastAsia="zh-CN"/>
              </w:rPr>
              <w:t>两</w:t>
            </w:r>
            <w:r>
              <w:rPr>
                <w:rFonts w:hint="eastAsia"/>
                <w:color w:val="auto"/>
              </w:rPr>
              <w:t>驱 长轴双排 舒享版 柴油 国VI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车型</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皮卡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动力类型</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柴油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发动机</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2.0T 直列 4缸 涡轮增压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最大功率/扭矩</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104kW/350N.m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变速箱</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8挡 手自一体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环保标准</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保修政策</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3年或10万公里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长*宽*高[mm]</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5725*1905*1835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轴距[mm]</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3350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座位数[个]</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油箱容积[L]</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轮胎规格</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245/70 R17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发动机型号</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JX4D20A6L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排量[mL]</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1998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进气形式</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涡轮增压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缸体排列形式</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直列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气缸数</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前悬架类型</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双横臂式独立悬架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后悬架类型</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整体桥式非独立悬架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助力类型</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机械液压助力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前轮制动类型</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通风盘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后轮制动类型</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盘式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防抱死制动(ABS)</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制动力分配(EBD/CBC等)</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主驾驶安全气囊</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副驾驶安全气囊</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胎压监测</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后倒车雷达</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驻车影像系统</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后方影像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巡航系统</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定速巡航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灯光源</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卤素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LED日间行车灯</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大灯功能</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自动开闭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前雾灯</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轮圈材质</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铝合金轮圈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前电动车窗</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内饰材质</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塑料</w:t>
            </w:r>
          </w:p>
          <w:p>
            <w:pPr>
              <w:jc w:val="center"/>
              <w:rPr>
                <w:rFonts w:hint="eastAsia"/>
                <w:color w:val="000000"/>
              </w:rPr>
            </w:pPr>
            <w:r>
              <w:rPr>
                <w:rFonts w:hint="eastAsia"/>
                <w:color w:val="000000"/>
              </w:rPr>
              <w:t>● 皮质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方向盘调节</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上下调节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前排空调</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手动空调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座椅材质</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皮质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主座椅调节方式</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靠背调节</w:t>
            </w:r>
          </w:p>
          <w:p>
            <w:pPr>
              <w:jc w:val="center"/>
              <w:rPr>
                <w:rFonts w:hint="eastAsia"/>
                <w:color w:val="000000"/>
              </w:rPr>
            </w:pPr>
            <w:r>
              <w:rPr>
                <w:rFonts w:hint="eastAsia"/>
                <w:color w:val="000000"/>
              </w:rPr>
              <w:t>● 前后调节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前后中央扶手</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液晶屏尺寸</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扬声器数量[个]</w:t>
            </w:r>
          </w:p>
        </w:tc>
        <w:tc>
          <w:tcPr>
            <w:tcW w:w="39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2-4</w:t>
            </w:r>
          </w:p>
        </w:tc>
      </w:tr>
    </w:tbl>
    <w:p>
      <w:pPr>
        <w:pStyle w:val="10"/>
        <w:numPr>
          <w:ilvl w:val="0"/>
          <w:numId w:val="0"/>
        </w:numPr>
        <w:ind w:leftChars="0"/>
        <w:jc w:val="both"/>
        <w:rPr>
          <w:rFonts w:hint="eastAsia" w:ascii="宋体" w:hAnsi="宋体" w:cs="仿宋_GB2312"/>
          <w:b/>
          <w:bCs/>
          <w:sz w:val="30"/>
          <w:szCs w:val="30"/>
          <w:lang w:val="en-US" w:eastAsia="zh-CN"/>
        </w:rPr>
      </w:pPr>
    </w:p>
    <w:p>
      <w:pPr>
        <w:pStyle w:val="10"/>
        <w:numPr>
          <w:ilvl w:val="0"/>
          <w:numId w:val="0"/>
        </w:numPr>
        <w:ind w:leftChars="0"/>
        <w:jc w:val="both"/>
        <w:rPr>
          <w:rFonts w:hint="eastAsia" w:ascii="宋体" w:hAnsi="宋体" w:cs="仿宋_GB2312"/>
          <w:b/>
          <w:bCs/>
          <w:sz w:val="30"/>
          <w:szCs w:val="30"/>
        </w:rPr>
      </w:pPr>
      <w:r>
        <w:rPr>
          <w:rFonts w:hint="eastAsia" w:ascii="宋体" w:hAnsi="宋体" w:cs="仿宋_GB2312"/>
          <w:b/>
          <w:bCs/>
          <w:sz w:val="30"/>
          <w:szCs w:val="30"/>
          <w:lang w:val="en-US" w:eastAsia="zh-CN"/>
        </w:rPr>
        <w:t>(4)</w:t>
      </w:r>
      <w:r>
        <w:rPr>
          <w:rFonts w:hint="eastAsia" w:ascii="宋体" w:hAnsi="宋体" w:cs="仿宋_GB2312"/>
          <w:b/>
          <w:bCs/>
          <w:sz w:val="30"/>
          <w:szCs w:val="30"/>
        </w:rPr>
        <w:t>全顺福特2019款</w:t>
      </w:r>
    </w:p>
    <w:tbl>
      <w:tblPr>
        <w:tblStyle w:val="11"/>
        <w:tblW w:w="72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315"/>
        <w:gridCol w:w="3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auto"/>
              </w:rPr>
            </w:pP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auto"/>
              </w:rPr>
            </w:pPr>
            <w:r>
              <w:rPr>
                <w:rFonts w:hint="eastAsia"/>
                <w:color w:val="auto"/>
              </w:rPr>
              <w:t>全顺 2.0T 手自一体 短轴低顶 商旅型 9座 汽油 国VI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车型</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轻型客车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动力类型</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汽油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发动机</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2.0T 直列 4缸 涡轮增压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最大功率/扭矩</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149kW/300N.m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变速箱</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6挡 手自一体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环保标准</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保修政策</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3年或10万公里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长*宽*高[mm]</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4974*2032*2061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轴距[mm]</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2933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座位数[个]</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油箱容积[L]</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轮胎规格</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215/75R16 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发动机型号</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ECOBOOST4G20B6L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排量[mL]</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1997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进气形式</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涡轮增压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缸体排列形式</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直列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气缸数</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驱动形式</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前轮驱动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前悬架类型</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麦弗逊独立悬架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后悬架类型</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钢板弹簧非独立悬架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助力类型</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液压助力转向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前轮制动类型</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盘式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后轮制动类型</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盘式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防抱死制动(ABS)</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制动力分配(EBD/CBC等)</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主驾驶安全气囊</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副驾驶安全气囊</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胎压监测</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后倒车雷达</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驻车影像系统</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巡航系统</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灯光源</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卤素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LED日间行车灯</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大灯功能</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前雾灯</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轮圈材质</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eastAsiaTheme="minorEastAsia"/>
                <w:color w:val="000000"/>
                <w:lang w:eastAsia="zh-CN"/>
              </w:rPr>
            </w:pPr>
            <w:r>
              <w:rPr>
                <w:rFonts w:hint="eastAsia"/>
                <w:color w:val="000000"/>
                <w:lang w:val="en-US" w:eastAsia="zh-CN"/>
              </w:rPr>
              <w:t>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前电动车窗</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内饰材质</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方向盘调节</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上下调节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前排空调</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手动空调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座椅材质</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皮质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主座椅调节方式</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 靠背调节</w:t>
            </w:r>
          </w:p>
          <w:p>
            <w:pPr>
              <w:jc w:val="center"/>
              <w:rPr>
                <w:rFonts w:hint="eastAsia"/>
                <w:color w:val="000000"/>
              </w:rPr>
            </w:pPr>
            <w:r>
              <w:rPr>
                <w:rFonts w:hint="eastAsia"/>
                <w:color w:val="000000"/>
              </w:rPr>
              <w:t>● 高低调节</w:t>
            </w:r>
          </w:p>
          <w:p>
            <w:pPr>
              <w:jc w:val="center"/>
              <w:rPr>
                <w:rFonts w:hint="eastAsia"/>
                <w:color w:val="000000"/>
              </w:rPr>
            </w:pPr>
            <w:r>
              <w:rPr>
                <w:rFonts w:hint="eastAsia"/>
                <w:color w:val="000000"/>
              </w:rPr>
              <w:t>● 前后调节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前后中央扶手</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液晶屏尺寸</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扬声器数量[个]</w:t>
            </w:r>
          </w:p>
        </w:tc>
        <w:tc>
          <w:tcPr>
            <w:tcW w:w="39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color w:val="000000"/>
              </w:rPr>
            </w:pPr>
            <w:r>
              <w:rPr>
                <w:rFonts w:hint="eastAsia"/>
                <w:color w:val="000000"/>
              </w:rPr>
              <w:t>-</w:t>
            </w:r>
          </w:p>
        </w:tc>
      </w:tr>
    </w:tbl>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9"/>
        <w:widowControl w:val="0"/>
        <w:numPr>
          <w:ilvl w:val="0"/>
          <w:numId w:val="4"/>
        </w:numPr>
        <w:spacing w:line="360" w:lineRule="auto"/>
        <w:ind w:firstLine="904" w:firstLineChars="3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采购清单</w:t>
      </w:r>
    </w:p>
    <w:tbl>
      <w:tblPr>
        <w:tblStyle w:val="11"/>
        <w:tblpPr w:leftFromText="180" w:rightFromText="180" w:vertAnchor="text" w:horzAnchor="page" w:tblpX="1654" w:tblpY="67"/>
        <w:tblOverlap w:val="never"/>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130"/>
        <w:gridCol w:w="2358"/>
        <w:gridCol w:w="874"/>
        <w:gridCol w:w="966"/>
        <w:gridCol w:w="1261"/>
        <w:gridCol w:w="956"/>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noWrap w:val="0"/>
            <w:vAlign w:val="center"/>
          </w:tcPr>
          <w:p>
            <w:pPr>
              <w:ind w:firstLine="0" w:firstLineChars="0"/>
              <w:jc w:val="center"/>
              <w:rPr>
                <w:sz w:val="30"/>
                <w:szCs w:val="30"/>
              </w:rPr>
            </w:pPr>
            <w:r>
              <w:rPr>
                <w:rFonts w:hint="eastAsia"/>
                <w:sz w:val="30"/>
                <w:szCs w:val="30"/>
              </w:rPr>
              <w:t>序号</w:t>
            </w:r>
          </w:p>
        </w:tc>
        <w:tc>
          <w:tcPr>
            <w:tcW w:w="1130" w:type="dxa"/>
            <w:noWrap w:val="0"/>
            <w:vAlign w:val="center"/>
          </w:tcPr>
          <w:p>
            <w:pPr>
              <w:ind w:firstLine="0" w:firstLineChars="0"/>
              <w:jc w:val="center"/>
              <w:rPr>
                <w:sz w:val="30"/>
                <w:szCs w:val="30"/>
              </w:rPr>
            </w:pPr>
            <w:r>
              <w:rPr>
                <w:rFonts w:hint="eastAsia"/>
                <w:sz w:val="30"/>
                <w:szCs w:val="30"/>
              </w:rPr>
              <w:t>名称</w:t>
            </w:r>
          </w:p>
        </w:tc>
        <w:tc>
          <w:tcPr>
            <w:tcW w:w="2358" w:type="dxa"/>
            <w:noWrap w:val="0"/>
            <w:vAlign w:val="center"/>
          </w:tcPr>
          <w:p>
            <w:pPr>
              <w:ind w:firstLine="0" w:firstLineChars="0"/>
              <w:jc w:val="center"/>
              <w:rPr>
                <w:sz w:val="30"/>
                <w:szCs w:val="30"/>
              </w:rPr>
            </w:pPr>
            <w:r>
              <w:rPr>
                <w:rFonts w:hint="eastAsia"/>
                <w:sz w:val="30"/>
                <w:szCs w:val="30"/>
              </w:rPr>
              <w:t>品牌型号</w:t>
            </w:r>
          </w:p>
        </w:tc>
        <w:tc>
          <w:tcPr>
            <w:tcW w:w="874" w:type="dxa"/>
            <w:noWrap w:val="0"/>
            <w:vAlign w:val="center"/>
          </w:tcPr>
          <w:p>
            <w:pPr>
              <w:ind w:firstLine="0" w:firstLineChars="0"/>
              <w:jc w:val="center"/>
              <w:rPr>
                <w:sz w:val="30"/>
                <w:szCs w:val="30"/>
              </w:rPr>
            </w:pPr>
            <w:r>
              <w:rPr>
                <w:rFonts w:hint="eastAsia"/>
                <w:sz w:val="30"/>
                <w:szCs w:val="30"/>
              </w:rPr>
              <w:t>单位</w:t>
            </w:r>
          </w:p>
        </w:tc>
        <w:tc>
          <w:tcPr>
            <w:tcW w:w="966" w:type="dxa"/>
            <w:noWrap w:val="0"/>
            <w:vAlign w:val="center"/>
          </w:tcPr>
          <w:p>
            <w:pPr>
              <w:ind w:firstLine="0" w:firstLineChars="0"/>
              <w:jc w:val="center"/>
              <w:rPr>
                <w:sz w:val="30"/>
                <w:szCs w:val="30"/>
              </w:rPr>
            </w:pPr>
            <w:r>
              <w:rPr>
                <w:rFonts w:hint="eastAsia"/>
                <w:sz w:val="30"/>
                <w:szCs w:val="30"/>
              </w:rPr>
              <w:t>数量</w:t>
            </w:r>
          </w:p>
        </w:tc>
        <w:tc>
          <w:tcPr>
            <w:tcW w:w="1261" w:type="dxa"/>
            <w:noWrap w:val="0"/>
            <w:vAlign w:val="center"/>
          </w:tcPr>
          <w:p>
            <w:pPr>
              <w:ind w:firstLine="0" w:firstLineChars="0"/>
              <w:jc w:val="center"/>
              <w:rPr>
                <w:rFonts w:hint="eastAsia" w:eastAsiaTheme="minorEastAsia"/>
                <w:sz w:val="30"/>
                <w:szCs w:val="30"/>
                <w:lang w:val="en-US" w:eastAsia="zh-CN"/>
              </w:rPr>
            </w:pPr>
            <w:r>
              <w:rPr>
                <w:rFonts w:hint="eastAsia"/>
                <w:sz w:val="30"/>
                <w:szCs w:val="30"/>
                <w:lang w:val="en-US" w:eastAsia="zh-CN"/>
              </w:rPr>
              <w:t>颜色</w:t>
            </w:r>
          </w:p>
        </w:tc>
        <w:tc>
          <w:tcPr>
            <w:tcW w:w="956" w:type="dxa"/>
            <w:noWrap w:val="0"/>
            <w:vAlign w:val="center"/>
          </w:tcPr>
          <w:p>
            <w:pPr>
              <w:ind w:firstLine="0" w:firstLineChars="0"/>
              <w:jc w:val="center"/>
              <w:rPr>
                <w:sz w:val="30"/>
                <w:szCs w:val="30"/>
              </w:rPr>
            </w:pPr>
            <w:r>
              <w:rPr>
                <w:rFonts w:hint="eastAsia"/>
                <w:sz w:val="30"/>
                <w:szCs w:val="30"/>
              </w:rPr>
              <w:t>单价</w:t>
            </w:r>
          </w:p>
        </w:tc>
        <w:tc>
          <w:tcPr>
            <w:tcW w:w="1294"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97" w:type="dxa"/>
            <w:noWrap w:val="0"/>
            <w:vAlign w:val="center"/>
          </w:tcPr>
          <w:p>
            <w:pPr>
              <w:spacing w:before="100" w:beforeAutospacing="1" w:after="100" w:afterAutospacing="1" w:line="360" w:lineRule="auto"/>
              <w:jc w:val="center"/>
              <w:rPr>
                <w:rFonts w:hint="eastAsia" w:ascii="宋体" w:hAnsi="宋体" w:eastAsia="宋体" w:cs="宋体"/>
                <w:sz w:val="30"/>
                <w:szCs w:val="30"/>
              </w:rPr>
            </w:pPr>
            <w:r>
              <w:rPr>
                <w:rFonts w:hint="eastAsia" w:ascii="宋体" w:hAnsi="宋体" w:eastAsia="宋体" w:cs="宋体"/>
                <w:szCs w:val="21"/>
              </w:rPr>
              <w:t>1</w:t>
            </w:r>
          </w:p>
        </w:tc>
        <w:tc>
          <w:tcPr>
            <w:tcW w:w="1130" w:type="dxa"/>
            <w:noWrap w:val="0"/>
            <w:vAlign w:val="center"/>
          </w:tcPr>
          <w:p>
            <w:pPr>
              <w:spacing w:before="100" w:beforeAutospacing="1" w:after="100" w:afterAutospacing="1" w:line="360" w:lineRule="auto"/>
              <w:jc w:val="center"/>
              <w:rPr>
                <w:rFonts w:hint="eastAsia" w:ascii="宋体" w:hAnsi="宋体" w:eastAsia="宋体" w:cs="宋体"/>
                <w:sz w:val="30"/>
                <w:szCs w:val="30"/>
                <w:lang w:eastAsia="zh-CN"/>
              </w:rPr>
            </w:pPr>
            <w:r>
              <w:rPr>
                <w:rFonts w:hint="eastAsia" w:ascii="宋体" w:hAnsi="宋体" w:eastAsia="宋体" w:cs="宋体"/>
                <w:sz w:val="30"/>
                <w:szCs w:val="30"/>
                <w:lang w:eastAsia="zh-CN"/>
              </w:rPr>
              <w:t>轿车</w:t>
            </w:r>
          </w:p>
        </w:tc>
        <w:tc>
          <w:tcPr>
            <w:tcW w:w="2358" w:type="dxa"/>
            <w:noWrap w:val="0"/>
            <w:vAlign w:val="center"/>
          </w:tcPr>
          <w:p>
            <w:pPr>
              <w:spacing w:before="100" w:beforeAutospacing="1" w:after="100" w:afterAutospacing="1" w:line="360" w:lineRule="auto"/>
              <w:jc w:val="center"/>
              <w:rPr>
                <w:rFonts w:hint="eastAsia" w:ascii="宋体" w:hAnsi="宋体" w:eastAsia="宋体" w:cs="宋体"/>
                <w:sz w:val="30"/>
                <w:szCs w:val="30"/>
              </w:rPr>
            </w:pPr>
            <w:r>
              <w:rPr>
                <w:rFonts w:hint="eastAsia" w:ascii="宋体" w:hAnsi="宋体" w:eastAsia="宋体" w:cs="宋体"/>
                <w:sz w:val="30"/>
                <w:szCs w:val="30"/>
              </w:rPr>
              <w:t>H5智联旗领版</w:t>
            </w:r>
          </w:p>
        </w:tc>
        <w:tc>
          <w:tcPr>
            <w:tcW w:w="874" w:type="dxa"/>
            <w:noWrap w:val="0"/>
            <w:vAlign w:val="center"/>
          </w:tcPr>
          <w:p>
            <w:pPr>
              <w:ind w:firstLine="0" w:firstLineChars="0"/>
              <w:jc w:val="center"/>
              <w:rPr>
                <w:rFonts w:hint="eastAsia" w:ascii="宋体" w:hAnsi="宋体" w:eastAsia="宋体" w:cs="宋体"/>
                <w:sz w:val="30"/>
                <w:szCs w:val="30"/>
              </w:rPr>
            </w:pPr>
            <w:r>
              <w:rPr>
                <w:rFonts w:hint="eastAsia" w:ascii="宋体" w:hAnsi="宋体" w:eastAsia="宋体" w:cs="宋体"/>
                <w:sz w:val="30"/>
                <w:szCs w:val="30"/>
              </w:rPr>
              <w:t>台</w:t>
            </w:r>
          </w:p>
        </w:tc>
        <w:tc>
          <w:tcPr>
            <w:tcW w:w="966" w:type="dxa"/>
            <w:noWrap w:val="0"/>
            <w:vAlign w:val="center"/>
          </w:tcPr>
          <w:p>
            <w:pPr>
              <w:ind w:firstLine="0" w:firstLineChars="0"/>
              <w:jc w:val="center"/>
              <w:rPr>
                <w:rFonts w:hint="eastAsia" w:ascii="宋体" w:hAnsi="宋体" w:eastAsia="宋体" w:cs="宋体"/>
                <w:sz w:val="30"/>
                <w:szCs w:val="30"/>
                <w:lang w:eastAsia="zh-CN"/>
              </w:rPr>
            </w:pPr>
            <w:r>
              <w:rPr>
                <w:rFonts w:hint="eastAsia" w:ascii="宋体" w:hAnsi="宋体" w:eastAsia="宋体" w:cs="宋体"/>
                <w:sz w:val="30"/>
                <w:szCs w:val="30"/>
                <w:lang w:val="en-US" w:eastAsia="zh-CN"/>
              </w:rPr>
              <w:t>1</w:t>
            </w:r>
          </w:p>
        </w:tc>
        <w:tc>
          <w:tcPr>
            <w:tcW w:w="1261" w:type="dxa"/>
            <w:noWrap w:val="0"/>
            <w:vAlign w:val="center"/>
          </w:tcPr>
          <w:p>
            <w:pPr>
              <w:ind w:firstLine="0" w:firstLineChars="0"/>
              <w:jc w:val="center"/>
              <w:rPr>
                <w:rFonts w:hint="eastAsia" w:eastAsiaTheme="minorEastAsia"/>
                <w:sz w:val="30"/>
                <w:szCs w:val="30"/>
                <w:lang w:eastAsia="zh-CN"/>
              </w:rPr>
            </w:pPr>
            <w:r>
              <w:rPr>
                <w:rFonts w:hint="eastAsia"/>
                <w:sz w:val="30"/>
                <w:szCs w:val="30"/>
                <w:lang w:eastAsia="zh-CN"/>
              </w:rPr>
              <w:t>黑色</w:t>
            </w:r>
          </w:p>
        </w:tc>
        <w:tc>
          <w:tcPr>
            <w:tcW w:w="956" w:type="dxa"/>
            <w:noWrap w:val="0"/>
            <w:vAlign w:val="center"/>
          </w:tcPr>
          <w:p>
            <w:pPr>
              <w:ind w:firstLine="0" w:firstLineChars="0"/>
              <w:jc w:val="center"/>
              <w:rPr>
                <w:sz w:val="30"/>
                <w:szCs w:val="30"/>
              </w:rPr>
            </w:pPr>
          </w:p>
        </w:tc>
        <w:tc>
          <w:tcPr>
            <w:tcW w:w="1294"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497" w:type="dxa"/>
            <w:noWrap w:val="0"/>
            <w:vAlign w:val="center"/>
          </w:tcPr>
          <w:p>
            <w:pPr>
              <w:spacing w:before="100" w:beforeAutospacing="1" w:after="100" w:afterAutospacing="1" w:line="360" w:lineRule="auto"/>
              <w:jc w:val="center"/>
              <w:rPr>
                <w:rFonts w:hint="eastAsia" w:ascii="宋体" w:hAnsi="宋体" w:eastAsia="宋体" w:cs="宋体"/>
              </w:rPr>
            </w:pPr>
            <w:r>
              <w:rPr>
                <w:rFonts w:hint="eastAsia" w:ascii="宋体" w:hAnsi="宋体" w:eastAsia="宋体" w:cs="宋体"/>
                <w:szCs w:val="21"/>
              </w:rPr>
              <w:t>2</w:t>
            </w:r>
          </w:p>
        </w:tc>
        <w:tc>
          <w:tcPr>
            <w:tcW w:w="1130" w:type="dxa"/>
            <w:noWrap w:val="0"/>
            <w:vAlign w:val="center"/>
          </w:tcPr>
          <w:p>
            <w:pPr>
              <w:spacing w:before="100" w:beforeAutospacing="1" w:after="100" w:afterAutospacing="1" w:line="360" w:lineRule="auto"/>
              <w:jc w:val="center"/>
              <w:rPr>
                <w:rFonts w:hint="eastAsia" w:ascii="宋体" w:hAnsi="宋体" w:eastAsia="宋体" w:cs="宋体"/>
                <w:sz w:val="30"/>
                <w:szCs w:val="30"/>
                <w:lang w:eastAsia="zh-CN"/>
              </w:rPr>
            </w:pPr>
            <w:r>
              <w:rPr>
                <w:rFonts w:hint="eastAsia" w:ascii="宋体" w:hAnsi="宋体" w:eastAsia="宋体" w:cs="宋体"/>
                <w:sz w:val="30"/>
                <w:szCs w:val="30"/>
                <w:lang w:eastAsia="zh-CN"/>
              </w:rPr>
              <w:t>轿车</w:t>
            </w:r>
          </w:p>
        </w:tc>
        <w:tc>
          <w:tcPr>
            <w:tcW w:w="2358" w:type="dxa"/>
            <w:noWrap w:val="0"/>
            <w:vAlign w:val="center"/>
          </w:tcPr>
          <w:p>
            <w:pPr>
              <w:spacing w:before="100" w:beforeAutospacing="1" w:after="100" w:afterAutospacing="1" w:line="360" w:lineRule="auto"/>
              <w:jc w:val="center"/>
              <w:rPr>
                <w:rFonts w:hint="eastAsia" w:ascii="宋体" w:hAnsi="宋体" w:eastAsia="宋体" w:cs="宋体"/>
                <w:snapToGrid w:val="0"/>
                <w:kern w:val="0"/>
                <w:sz w:val="30"/>
                <w:szCs w:val="30"/>
              </w:rPr>
            </w:pPr>
            <w:r>
              <w:rPr>
                <w:rFonts w:hint="eastAsia" w:ascii="宋体" w:hAnsi="宋体" w:eastAsia="宋体" w:cs="宋体"/>
                <w:sz w:val="30"/>
                <w:szCs w:val="30"/>
              </w:rPr>
              <w:t>别克君越2021款</w:t>
            </w:r>
          </w:p>
        </w:tc>
        <w:tc>
          <w:tcPr>
            <w:tcW w:w="874" w:type="dxa"/>
            <w:noWrap w:val="0"/>
            <w:vAlign w:val="center"/>
          </w:tcPr>
          <w:p>
            <w:pPr>
              <w:ind w:firstLine="0" w:firstLineChars="0"/>
              <w:jc w:val="center"/>
              <w:rPr>
                <w:rFonts w:hint="eastAsia" w:ascii="宋体" w:hAnsi="宋体" w:eastAsia="宋体" w:cs="宋体"/>
                <w:sz w:val="30"/>
                <w:szCs w:val="30"/>
                <w:lang w:eastAsia="zh-CN"/>
              </w:rPr>
            </w:pPr>
            <w:r>
              <w:rPr>
                <w:rFonts w:hint="eastAsia" w:ascii="宋体" w:hAnsi="宋体" w:eastAsia="宋体" w:cs="宋体"/>
                <w:sz w:val="30"/>
                <w:szCs w:val="30"/>
                <w:lang w:eastAsia="zh-CN"/>
              </w:rPr>
              <w:t>台</w:t>
            </w:r>
          </w:p>
        </w:tc>
        <w:tc>
          <w:tcPr>
            <w:tcW w:w="966" w:type="dxa"/>
            <w:noWrap w:val="0"/>
            <w:vAlign w:val="center"/>
          </w:tcPr>
          <w:p>
            <w:pPr>
              <w:ind w:firstLine="0" w:firstLineChars="0"/>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w:t>
            </w:r>
          </w:p>
        </w:tc>
        <w:tc>
          <w:tcPr>
            <w:tcW w:w="1261" w:type="dxa"/>
            <w:noWrap w:val="0"/>
            <w:vAlign w:val="center"/>
          </w:tcPr>
          <w:p>
            <w:pPr>
              <w:ind w:firstLine="0" w:firstLineChars="0"/>
              <w:jc w:val="center"/>
              <w:rPr>
                <w:rFonts w:hint="eastAsia" w:eastAsiaTheme="minorEastAsia"/>
                <w:sz w:val="30"/>
                <w:szCs w:val="30"/>
                <w:lang w:eastAsia="zh-CN"/>
              </w:rPr>
            </w:pPr>
            <w:r>
              <w:rPr>
                <w:rFonts w:hint="eastAsia"/>
                <w:sz w:val="30"/>
                <w:szCs w:val="30"/>
                <w:lang w:eastAsia="zh-CN"/>
              </w:rPr>
              <w:t>黑色</w:t>
            </w:r>
          </w:p>
        </w:tc>
        <w:tc>
          <w:tcPr>
            <w:tcW w:w="956" w:type="dxa"/>
            <w:noWrap w:val="0"/>
            <w:vAlign w:val="center"/>
          </w:tcPr>
          <w:p>
            <w:pPr>
              <w:ind w:firstLine="0" w:firstLineChars="0"/>
              <w:jc w:val="center"/>
              <w:rPr>
                <w:sz w:val="30"/>
                <w:szCs w:val="30"/>
              </w:rPr>
            </w:pPr>
          </w:p>
        </w:tc>
        <w:tc>
          <w:tcPr>
            <w:tcW w:w="1294"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noWrap w:val="0"/>
            <w:vAlign w:val="center"/>
          </w:tcPr>
          <w:p>
            <w:pPr>
              <w:spacing w:before="100" w:beforeAutospacing="1" w:after="100" w:afterAutospacing="1" w:line="360" w:lineRule="auto"/>
              <w:jc w:val="center"/>
              <w:rPr>
                <w:rFonts w:hint="eastAsia" w:ascii="宋体" w:hAnsi="宋体" w:eastAsia="宋体" w:cs="宋体"/>
              </w:rPr>
            </w:pPr>
            <w:r>
              <w:rPr>
                <w:rFonts w:hint="eastAsia" w:ascii="宋体" w:hAnsi="宋体" w:eastAsia="宋体" w:cs="宋体"/>
                <w:szCs w:val="21"/>
              </w:rPr>
              <w:t>3</w:t>
            </w:r>
          </w:p>
        </w:tc>
        <w:tc>
          <w:tcPr>
            <w:tcW w:w="1130" w:type="dxa"/>
            <w:noWrap w:val="0"/>
            <w:vAlign w:val="center"/>
          </w:tcPr>
          <w:p>
            <w:pPr>
              <w:spacing w:before="100" w:beforeAutospacing="1" w:after="100" w:afterAutospacing="1" w:line="360" w:lineRule="auto"/>
              <w:jc w:val="center"/>
              <w:rPr>
                <w:rFonts w:hint="eastAsia" w:ascii="宋体" w:hAnsi="宋体" w:eastAsia="宋体" w:cs="宋体"/>
                <w:sz w:val="30"/>
                <w:szCs w:val="30"/>
                <w:lang w:eastAsia="zh-CN"/>
              </w:rPr>
            </w:pPr>
            <w:r>
              <w:rPr>
                <w:rFonts w:hint="eastAsia" w:ascii="宋体" w:hAnsi="宋体" w:eastAsia="宋体" w:cs="宋体"/>
                <w:sz w:val="30"/>
                <w:szCs w:val="30"/>
                <w:lang w:eastAsia="zh-CN"/>
              </w:rPr>
              <w:t>皮卡车</w:t>
            </w:r>
          </w:p>
        </w:tc>
        <w:tc>
          <w:tcPr>
            <w:tcW w:w="2358" w:type="dxa"/>
            <w:noWrap w:val="0"/>
            <w:vAlign w:val="center"/>
          </w:tcPr>
          <w:p>
            <w:pPr>
              <w:spacing w:before="100" w:beforeAutospacing="1" w:after="100" w:afterAutospacing="1" w:line="360" w:lineRule="auto"/>
              <w:jc w:val="center"/>
              <w:rPr>
                <w:rFonts w:hint="eastAsia" w:ascii="宋体" w:hAnsi="宋体" w:eastAsia="宋体" w:cs="宋体"/>
                <w:snapToGrid w:val="0"/>
                <w:kern w:val="0"/>
                <w:sz w:val="30"/>
                <w:szCs w:val="30"/>
              </w:rPr>
            </w:pPr>
            <w:r>
              <w:rPr>
                <w:rFonts w:hint="eastAsia" w:ascii="宋体" w:hAnsi="宋体" w:eastAsia="宋体" w:cs="宋体"/>
                <w:sz w:val="30"/>
                <w:szCs w:val="30"/>
              </w:rPr>
              <w:t>江铃域虎2020款，2.0T柴油自动档</w:t>
            </w:r>
          </w:p>
        </w:tc>
        <w:tc>
          <w:tcPr>
            <w:tcW w:w="874" w:type="dxa"/>
            <w:noWrap w:val="0"/>
            <w:vAlign w:val="center"/>
          </w:tcPr>
          <w:p>
            <w:pPr>
              <w:ind w:firstLine="0" w:firstLineChars="0"/>
              <w:jc w:val="center"/>
              <w:rPr>
                <w:rFonts w:hint="eastAsia" w:ascii="宋体" w:hAnsi="宋体" w:eastAsia="宋体" w:cs="宋体"/>
                <w:sz w:val="30"/>
                <w:szCs w:val="30"/>
                <w:lang w:eastAsia="zh-CN"/>
              </w:rPr>
            </w:pPr>
            <w:r>
              <w:rPr>
                <w:rFonts w:hint="eastAsia" w:ascii="宋体" w:hAnsi="宋体" w:eastAsia="宋体" w:cs="宋体"/>
                <w:sz w:val="30"/>
                <w:szCs w:val="30"/>
                <w:lang w:eastAsia="zh-CN"/>
              </w:rPr>
              <w:t>台</w:t>
            </w:r>
          </w:p>
        </w:tc>
        <w:tc>
          <w:tcPr>
            <w:tcW w:w="966" w:type="dxa"/>
            <w:noWrap w:val="0"/>
            <w:vAlign w:val="center"/>
          </w:tcPr>
          <w:p>
            <w:pPr>
              <w:ind w:firstLine="0" w:firstLineChars="0"/>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w:t>
            </w:r>
          </w:p>
        </w:tc>
        <w:tc>
          <w:tcPr>
            <w:tcW w:w="1261" w:type="dxa"/>
            <w:noWrap w:val="0"/>
            <w:vAlign w:val="center"/>
          </w:tcPr>
          <w:p>
            <w:pPr>
              <w:ind w:firstLine="0" w:firstLineChars="0"/>
              <w:jc w:val="center"/>
              <w:rPr>
                <w:rFonts w:hint="eastAsia" w:eastAsiaTheme="minorEastAsia"/>
                <w:sz w:val="30"/>
                <w:szCs w:val="30"/>
                <w:lang w:eastAsia="zh-CN"/>
              </w:rPr>
            </w:pPr>
            <w:r>
              <w:rPr>
                <w:rFonts w:hint="eastAsia"/>
                <w:sz w:val="30"/>
                <w:szCs w:val="30"/>
                <w:lang w:eastAsia="zh-CN"/>
              </w:rPr>
              <w:t>制式黄</w:t>
            </w:r>
          </w:p>
        </w:tc>
        <w:tc>
          <w:tcPr>
            <w:tcW w:w="956" w:type="dxa"/>
            <w:noWrap w:val="0"/>
            <w:vAlign w:val="center"/>
          </w:tcPr>
          <w:p>
            <w:pPr>
              <w:ind w:firstLine="0" w:firstLineChars="0"/>
              <w:jc w:val="center"/>
              <w:rPr>
                <w:sz w:val="30"/>
                <w:szCs w:val="30"/>
              </w:rPr>
            </w:pPr>
          </w:p>
        </w:tc>
        <w:tc>
          <w:tcPr>
            <w:tcW w:w="1294"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497" w:type="dxa"/>
            <w:noWrap w:val="0"/>
            <w:vAlign w:val="center"/>
          </w:tcPr>
          <w:p>
            <w:pPr>
              <w:pStyle w:val="2"/>
              <w:jc w:val="center"/>
              <w:rPr>
                <w:rFonts w:hint="eastAsia" w:ascii="宋体" w:hAnsi="宋体" w:eastAsia="宋体" w:cs="宋体"/>
                <w:lang w:val="en-US" w:eastAsia="zh-CN"/>
              </w:rPr>
            </w:pPr>
            <w:bookmarkStart w:id="93" w:name="_Toc9834_WPSOffice_Level1"/>
            <w:r>
              <w:rPr>
                <w:rFonts w:hint="eastAsia" w:ascii="宋体" w:hAnsi="宋体" w:eastAsia="宋体" w:cs="宋体"/>
                <w:lang w:val="en-US" w:eastAsia="zh-CN"/>
              </w:rPr>
              <w:t>4</w:t>
            </w:r>
          </w:p>
        </w:tc>
        <w:tc>
          <w:tcPr>
            <w:tcW w:w="1130" w:type="dxa"/>
            <w:noWrap w:val="0"/>
            <w:vAlign w:val="center"/>
          </w:tcPr>
          <w:p>
            <w:pPr>
              <w:spacing w:before="100" w:beforeAutospacing="1" w:after="100" w:afterAutospacing="1" w:line="360" w:lineRule="auto"/>
              <w:jc w:val="center"/>
              <w:rPr>
                <w:rFonts w:hint="eastAsia" w:ascii="宋体" w:hAnsi="宋体" w:eastAsia="宋体" w:cs="宋体"/>
                <w:sz w:val="30"/>
                <w:szCs w:val="30"/>
                <w:lang w:eastAsia="zh-CN"/>
              </w:rPr>
            </w:pPr>
            <w:r>
              <w:rPr>
                <w:rFonts w:hint="eastAsia" w:ascii="宋体" w:hAnsi="宋体" w:eastAsia="宋体" w:cs="宋体"/>
                <w:sz w:val="30"/>
                <w:szCs w:val="30"/>
                <w:lang w:eastAsia="zh-CN"/>
              </w:rPr>
              <w:t>中巴车</w:t>
            </w:r>
          </w:p>
        </w:tc>
        <w:tc>
          <w:tcPr>
            <w:tcW w:w="2358" w:type="dxa"/>
            <w:noWrap w:val="0"/>
            <w:vAlign w:val="center"/>
          </w:tcPr>
          <w:p>
            <w:pPr>
              <w:spacing w:before="100" w:beforeAutospacing="1" w:after="100" w:afterAutospacing="1" w:line="360" w:lineRule="auto"/>
              <w:jc w:val="center"/>
              <w:rPr>
                <w:rFonts w:hint="eastAsia" w:ascii="宋体" w:hAnsi="宋体" w:eastAsia="宋体" w:cs="宋体"/>
                <w:sz w:val="30"/>
                <w:szCs w:val="30"/>
              </w:rPr>
            </w:pPr>
            <w:r>
              <w:rPr>
                <w:rFonts w:hint="eastAsia" w:ascii="宋体" w:hAnsi="宋体" w:eastAsia="宋体" w:cs="宋体"/>
                <w:sz w:val="30"/>
                <w:szCs w:val="30"/>
              </w:rPr>
              <w:t>全顺福特2019款，9座低顶BUS冰白</w:t>
            </w:r>
          </w:p>
        </w:tc>
        <w:tc>
          <w:tcPr>
            <w:tcW w:w="874" w:type="dxa"/>
            <w:noWrap w:val="0"/>
            <w:vAlign w:val="center"/>
          </w:tcPr>
          <w:p>
            <w:pPr>
              <w:ind w:firstLine="0" w:firstLineChars="0"/>
              <w:jc w:val="center"/>
              <w:rPr>
                <w:rFonts w:hint="eastAsia" w:ascii="宋体" w:hAnsi="宋体" w:eastAsia="宋体" w:cs="宋体"/>
                <w:sz w:val="30"/>
                <w:szCs w:val="30"/>
                <w:lang w:eastAsia="zh-CN"/>
              </w:rPr>
            </w:pPr>
            <w:r>
              <w:rPr>
                <w:rFonts w:hint="eastAsia" w:ascii="宋体" w:hAnsi="宋体" w:eastAsia="宋体" w:cs="宋体"/>
                <w:sz w:val="30"/>
                <w:szCs w:val="30"/>
                <w:lang w:eastAsia="zh-CN"/>
              </w:rPr>
              <w:t>台</w:t>
            </w:r>
          </w:p>
        </w:tc>
        <w:tc>
          <w:tcPr>
            <w:tcW w:w="966" w:type="dxa"/>
            <w:noWrap w:val="0"/>
            <w:vAlign w:val="center"/>
          </w:tcPr>
          <w:p>
            <w:pPr>
              <w:ind w:firstLine="0" w:firstLineChars="0"/>
              <w:jc w:val="center"/>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w:t>
            </w:r>
          </w:p>
        </w:tc>
        <w:tc>
          <w:tcPr>
            <w:tcW w:w="1261" w:type="dxa"/>
            <w:noWrap w:val="0"/>
            <w:vAlign w:val="center"/>
          </w:tcPr>
          <w:p>
            <w:pPr>
              <w:ind w:firstLine="0" w:firstLineChars="0"/>
              <w:jc w:val="center"/>
              <w:rPr>
                <w:rFonts w:hint="eastAsia" w:eastAsiaTheme="minorEastAsia"/>
                <w:sz w:val="30"/>
                <w:szCs w:val="30"/>
                <w:lang w:eastAsia="zh-CN"/>
              </w:rPr>
            </w:pPr>
            <w:r>
              <w:rPr>
                <w:rFonts w:hint="eastAsia"/>
                <w:sz w:val="30"/>
                <w:szCs w:val="30"/>
                <w:lang w:eastAsia="zh-CN"/>
              </w:rPr>
              <w:t>白色</w:t>
            </w:r>
          </w:p>
        </w:tc>
        <w:tc>
          <w:tcPr>
            <w:tcW w:w="956" w:type="dxa"/>
            <w:noWrap w:val="0"/>
            <w:vAlign w:val="center"/>
          </w:tcPr>
          <w:p>
            <w:pPr>
              <w:ind w:firstLine="0" w:firstLineChars="0"/>
              <w:jc w:val="center"/>
              <w:rPr>
                <w:sz w:val="30"/>
                <w:szCs w:val="30"/>
              </w:rPr>
            </w:pPr>
          </w:p>
        </w:tc>
        <w:tc>
          <w:tcPr>
            <w:tcW w:w="1294" w:type="dxa"/>
            <w:noWrap w:val="0"/>
            <w:vAlign w:val="center"/>
          </w:tcPr>
          <w:p>
            <w:pPr>
              <w:ind w:firstLine="0" w:firstLineChars="0"/>
              <w:jc w:val="center"/>
              <w:rPr>
                <w:sz w:val="30"/>
                <w:szCs w:val="30"/>
              </w:rPr>
            </w:pPr>
          </w:p>
        </w:tc>
      </w:tr>
    </w:tbl>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both"/>
        <w:rPr>
          <w:rFonts w:hint="eastAsia" w:ascii="Times New Roman" w:hAnsi="Times New Roman" w:eastAsia="宋体" w:cs="Times New Roman"/>
          <w:b/>
          <w:bCs/>
          <w:color w:val="auto"/>
          <w:sz w:val="36"/>
          <w:szCs w:val="36"/>
          <w:highlight w:val="none"/>
          <w:lang w:val="en-US" w:eastAsia="zh-CN"/>
        </w:rPr>
      </w:pPr>
    </w:p>
    <w:p>
      <w:pPr>
        <w:jc w:val="both"/>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pStyle w:val="2"/>
        <w:rPr>
          <w:rFonts w:hint="eastAsia" w:ascii="Times New Roman" w:hAnsi="Times New Roman" w:eastAsia="宋体" w:cs="Times New Roman"/>
          <w:b/>
          <w:bCs/>
          <w:color w:val="auto"/>
          <w:sz w:val="36"/>
          <w:szCs w:val="36"/>
          <w:highlight w:val="none"/>
          <w:lang w:val="en-US" w:eastAsia="zh-CN"/>
        </w:rPr>
      </w:pPr>
    </w:p>
    <w:p>
      <w:pPr>
        <w:pStyle w:val="2"/>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default"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 xml:space="preserve">第六章 </w:t>
      </w:r>
      <w:r>
        <w:rPr>
          <w:rFonts w:hint="default" w:ascii="Times New Roman" w:hAnsi="Times New Roman" w:eastAsia="宋体" w:cs="Times New Roman"/>
          <w:b/>
          <w:bCs/>
          <w:color w:val="auto"/>
          <w:sz w:val="36"/>
          <w:szCs w:val="36"/>
          <w:highlight w:val="none"/>
          <w:lang w:val="en-US" w:eastAsia="zh-CN"/>
        </w:rPr>
        <w:t>响应文件格式</w:t>
      </w:r>
      <w:bookmarkEnd w:id="93"/>
    </w:p>
    <w:p>
      <w:pPr>
        <w:rPr>
          <w:rFonts w:hint="default" w:ascii="Times New Roman" w:hAnsi="Times New Roman" w:eastAsia="宋体" w:cs="Times New Roman"/>
          <w:color w:val="auto"/>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94" w:name="_Toc27552_WPSOffice_Level1"/>
      <w:bookmarkStart w:id="95" w:name="_Toc1914_WPSOffice_Level1"/>
      <w:bookmarkStart w:id="96" w:name="_Toc17394_WPSOffice_Level1"/>
      <w:bookmarkStart w:id="97" w:name="_Toc5145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94"/>
      <w:bookmarkEnd w:id="95"/>
      <w:bookmarkEnd w:id="96"/>
      <w:bookmarkEnd w:id="97"/>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98" w:name="_Toc25232_WPSOffice_Level2"/>
      <w:bookmarkStart w:id="99" w:name="_Toc5520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98"/>
      <w:bookmarkEnd w:id="99"/>
      <w:r>
        <w:rPr>
          <w:rFonts w:hint="default" w:ascii="Times New Roman" w:hAnsi="Times New Roman" w:eastAsia="黑体" w:cs="Times New Roman"/>
          <w:color w:val="auto"/>
          <w:sz w:val="28"/>
          <w:szCs w:val="28"/>
          <w:highlight w:val="none"/>
          <w:u w:val="single"/>
        </w:rPr>
        <w:t xml:space="preserve">           </w:t>
      </w:r>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r>
        <w:rPr>
          <w:rFonts w:hint="eastAsia" w:ascii="Times New Roman" w:hAnsi="Times New Roman" w:eastAsia="黑体" w:cs="Times New Roman"/>
          <w:color w:val="auto"/>
          <w:sz w:val="28"/>
          <w:szCs w:val="28"/>
          <w:highlight w:val="none"/>
          <w:u w:val="single"/>
          <w:lang w:val="en-US" w:eastAsia="zh-CN"/>
        </w:rPr>
        <w:t xml:space="preserve"> </w:t>
      </w:r>
      <w:r>
        <w:rPr>
          <w:rFonts w:hint="default" w:ascii="Times New Roman" w:hAnsi="Times New Roman" w:eastAsia="黑体" w:cs="Times New Roman"/>
          <w:color w:val="auto"/>
          <w:sz w:val="28"/>
          <w:szCs w:val="28"/>
          <w:highlight w:val="none"/>
          <w:u w:val="single"/>
        </w:rPr>
        <w:t xml:space="preserve">         </w:t>
      </w:r>
      <w:bookmarkStart w:id="100" w:name="_Toc31577_WPSOffice_Level2"/>
      <w:bookmarkStart w:id="101" w:name="_Toc20076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100"/>
      <w:bookmarkEnd w:id="101"/>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02" w:name="_Toc21974_WPSOffice_Level2"/>
      <w:bookmarkStart w:id="103" w:name="_Toc22351_WPSOffice_Level2"/>
      <w:r>
        <w:rPr>
          <w:rFonts w:hint="default" w:ascii="Times New Roman" w:hAnsi="Times New Roman" w:eastAsia="黑体" w:cs="Times New Roman"/>
          <w:color w:val="auto"/>
          <w:sz w:val="28"/>
          <w:szCs w:val="28"/>
          <w:highlight w:val="none"/>
        </w:rPr>
        <w:t>目     录</w:t>
      </w:r>
      <w:bookmarkEnd w:id="102"/>
      <w:bookmarkEnd w:id="103"/>
    </w:p>
    <w:p>
      <w:pPr>
        <w:spacing w:line="440" w:lineRule="exact"/>
        <w:rPr>
          <w:rFonts w:hint="default" w:ascii="Times New Roman" w:hAnsi="Times New Roman" w:eastAsia="黑体" w:cs="Times New Roman"/>
          <w:color w:val="auto"/>
          <w:sz w:val="20"/>
          <w:szCs w:val="20"/>
          <w:highlight w:val="none"/>
        </w:rPr>
      </w:pPr>
    </w:p>
    <w:p>
      <w:pPr>
        <w:spacing w:line="440" w:lineRule="exact"/>
        <w:ind w:left="1619" w:leftChars="771"/>
        <w:rPr>
          <w:rFonts w:ascii="Times New Roman" w:hAnsi="Times New Roman" w:eastAsia="黑体" w:cs="Times New Roman"/>
          <w:color w:val="auto"/>
          <w:sz w:val="24"/>
          <w:highlight w:val="none"/>
        </w:rPr>
      </w:pPr>
      <w:bookmarkStart w:id="104" w:name="_Toc6353_WPSOffice_Level1"/>
      <w:bookmarkStart w:id="105" w:name="_Toc11424_WPSOffice_Level1"/>
      <w:bookmarkStart w:id="106" w:name="_Toc23368_WPSOffice_Level1"/>
      <w:bookmarkStart w:id="107" w:name="_Toc30529_WPSOffice_Level1"/>
      <w:bookmarkStart w:id="108" w:name="_Toc12670_WPSOffice_Level1"/>
      <w:r>
        <w:rPr>
          <w:rFonts w:ascii="Times New Roman" w:hAnsi="Times New Roman" w:eastAsia="黑体" w:cs="Times New Roman"/>
          <w:color w:val="auto"/>
          <w:sz w:val="24"/>
          <w:highlight w:val="none"/>
        </w:rPr>
        <w:t>一、报价函</w:t>
      </w:r>
      <w:bookmarkEnd w:id="104"/>
      <w:bookmarkEnd w:id="105"/>
      <w:bookmarkEnd w:id="106"/>
      <w:bookmarkEnd w:id="107"/>
    </w:p>
    <w:p>
      <w:pPr>
        <w:spacing w:line="440" w:lineRule="exact"/>
        <w:ind w:left="1619" w:leftChars="771"/>
        <w:rPr>
          <w:rFonts w:ascii="Times New Roman" w:hAnsi="Times New Roman" w:eastAsia="黑体" w:cs="Times New Roman"/>
          <w:color w:val="auto"/>
          <w:sz w:val="24"/>
          <w:highlight w:val="none"/>
        </w:rPr>
      </w:pPr>
      <w:bookmarkStart w:id="109" w:name="_Toc32729_WPSOffice_Level1"/>
      <w:bookmarkStart w:id="110" w:name="_Toc21229_WPSOffice_Level1"/>
      <w:bookmarkStart w:id="111" w:name="_Toc31927_WPSOffice_Level1"/>
      <w:bookmarkStart w:id="112" w:name="_Toc5317_WPSOffice_Level1"/>
      <w:r>
        <w:rPr>
          <w:rFonts w:ascii="Times New Roman" w:hAnsi="Times New Roman" w:eastAsia="黑体" w:cs="Times New Roman"/>
          <w:color w:val="auto"/>
          <w:sz w:val="24"/>
          <w:highlight w:val="none"/>
        </w:rPr>
        <w:t>二、法定代表人身份证明及授权委托书</w:t>
      </w:r>
      <w:bookmarkEnd w:id="109"/>
      <w:bookmarkEnd w:id="110"/>
      <w:bookmarkEnd w:id="111"/>
      <w:bookmarkEnd w:id="112"/>
    </w:p>
    <w:p>
      <w:pPr>
        <w:spacing w:line="440" w:lineRule="exact"/>
        <w:ind w:left="1619" w:leftChars="771"/>
        <w:rPr>
          <w:rFonts w:ascii="Times New Roman" w:hAnsi="Times New Roman" w:eastAsia="黑体" w:cs="Times New Roman"/>
          <w:color w:val="auto"/>
          <w:sz w:val="24"/>
          <w:highlight w:val="none"/>
        </w:rPr>
      </w:pPr>
      <w:bookmarkStart w:id="113" w:name="_Toc29085_WPSOffice_Level1"/>
      <w:bookmarkStart w:id="114" w:name="_Toc23356_WPSOffice_Level1"/>
      <w:bookmarkStart w:id="115" w:name="_Toc25965_WPSOffice_Level1"/>
      <w:bookmarkStart w:id="116" w:name="_Toc4728_WPSOffice_Level1"/>
      <w:r>
        <w:rPr>
          <w:rFonts w:hint="eastAsia" w:ascii="Times New Roman" w:hAnsi="Times New Roman" w:eastAsia="黑体" w:cs="Times New Roman"/>
          <w:color w:val="auto"/>
          <w:sz w:val="24"/>
          <w:highlight w:val="none"/>
          <w:lang w:val="en-US" w:eastAsia="zh-CN"/>
        </w:rPr>
        <w:t>三</w:t>
      </w:r>
      <w:r>
        <w:rPr>
          <w:rFonts w:ascii="Times New Roman" w:hAnsi="Times New Roman" w:eastAsia="黑体" w:cs="Times New Roman"/>
          <w:color w:val="auto"/>
          <w:sz w:val="24"/>
          <w:highlight w:val="none"/>
        </w:rPr>
        <w:t>、已标价</w:t>
      </w:r>
      <w:r>
        <w:rPr>
          <w:rFonts w:hint="eastAsia" w:ascii="Times New Roman" w:hAnsi="Times New Roman" w:eastAsia="黑体" w:cs="Times New Roman"/>
          <w:color w:val="auto"/>
          <w:sz w:val="24"/>
          <w:highlight w:val="none"/>
          <w:lang w:val="en-US" w:eastAsia="zh-CN"/>
        </w:rPr>
        <w:t>的</w:t>
      </w:r>
      <w:bookmarkEnd w:id="113"/>
      <w:bookmarkEnd w:id="114"/>
      <w:bookmarkEnd w:id="115"/>
      <w:bookmarkEnd w:id="116"/>
      <w:r>
        <w:rPr>
          <w:rFonts w:hint="eastAsia" w:ascii="Times New Roman" w:hAnsi="Times New Roman" w:eastAsia="黑体" w:cs="Times New Roman"/>
          <w:color w:val="auto"/>
          <w:sz w:val="24"/>
          <w:highlight w:val="none"/>
          <w:lang w:val="en-US" w:eastAsia="zh-CN"/>
        </w:rPr>
        <w:t>报价清单</w:t>
      </w:r>
    </w:p>
    <w:p>
      <w:pPr>
        <w:spacing w:line="440" w:lineRule="exact"/>
        <w:ind w:left="1619" w:leftChars="771"/>
        <w:rPr>
          <w:rFonts w:hint="default" w:ascii="Times New Roman" w:hAnsi="Times New Roman" w:eastAsia="黑体" w:cs="Times New Roman"/>
          <w:color w:val="auto"/>
          <w:sz w:val="24"/>
          <w:highlight w:val="none"/>
          <w:lang w:val="en-US" w:eastAsia="zh-CN"/>
        </w:rPr>
      </w:pPr>
      <w:bookmarkStart w:id="117" w:name="_Toc7453_WPSOffice_Level1"/>
      <w:bookmarkStart w:id="118" w:name="_Toc10608_WPSOffice_Level1"/>
      <w:bookmarkStart w:id="119" w:name="_Toc23744_WPSOffice_Level1"/>
      <w:bookmarkStart w:id="120" w:name="_Toc18964_WPSOffice_Level1"/>
      <w:r>
        <w:rPr>
          <w:rFonts w:hint="eastAsia" w:ascii="Times New Roman" w:hAnsi="Times New Roman" w:eastAsia="黑体" w:cs="Times New Roman"/>
          <w:color w:val="auto"/>
          <w:sz w:val="24"/>
          <w:highlight w:val="none"/>
          <w:lang w:val="en-US" w:eastAsia="zh-CN"/>
        </w:rPr>
        <w:t>四</w:t>
      </w:r>
      <w:r>
        <w:rPr>
          <w:rFonts w:ascii="Times New Roman" w:hAnsi="Times New Roman" w:eastAsia="黑体" w:cs="Times New Roman"/>
          <w:color w:val="auto"/>
          <w:sz w:val="24"/>
          <w:highlight w:val="none"/>
        </w:rPr>
        <w:t>、</w:t>
      </w:r>
      <w:bookmarkEnd w:id="117"/>
      <w:bookmarkEnd w:id="118"/>
      <w:bookmarkEnd w:id="119"/>
      <w:bookmarkEnd w:id="120"/>
      <w:r>
        <w:rPr>
          <w:rFonts w:hint="eastAsia" w:ascii="Times New Roman" w:hAnsi="Times New Roman" w:eastAsia="黑体" w:cs="Times New Roman"/>
          <w:color w:val="auto"/>
          <w:sz w:val="24"/>
          <w:highlight w:val="none"/>
          <w:lang w:val="en-US" w:eastAsia="zh-CN"/>
        </w:rPr>
        <w:t>供应商基本情况</w:t>
      </w:r>
    </w:p>
    <w:p>
      <w:pPr>
        <w:spacing w:line="440" w:lineRule="exact"/>
        <w:ind w:left="1619" w:leftChars="771"/>
        <w:rPr>
          <w:rFonts w:ascii="Times New Roman" w:hAnsi="Times New Roman" w:eastAsia="黑体" w:cs="Times New Roman"/>
          <w:color w:val="auto"/>
          <w:sz w:val="24"/>
          <w:highlight w:val="none"/>
        </w:rPr>
      </w:pPr>
      <w:bookmarkStart w:id="121" w:name="_Toc1578_WPSOffice_Level1"/>
      <w:bookmarkStart w:id="122" w:name="_Toc23751_WPSOffice_Level1"/>
      <w:bookmarkStart w:id="123" w:name="_Toc9006_WPSOffice_Level1"/>
      <w:bookmarkStart w:id="124" w:name="_Toc19601_WPSOffice_Level1"/>
      <w:r>
        <w:rPr>
          <w:rFonts w:hint="eastAsia" w:ascii="Times New Roman" w:hAnsi="Times New Roman" w:eastAsia="黑体" w:cs="Times New Roman"/>
          <w:color w:val="auto"/>
          <w:sz w:val="24"/>
          <w:highlight w:val="none"/>
          <w:lang w:val="en-US" w:eastAsia="zh-CN"/>
        </w:rPr>
        <w:t>五、</w:t>
      </w:r>
      <w:bookmarkEnd w:id="121"/>
      <w:bookmarkEnd w:id="122"/>
      <w:bookmarkEnd w:id="123"/>
      <w:bookmarkEnd w:id="124"/>
      <w:r>
        <w:rPr>
          <w:rFonts w:hint="eastAsia" w:ascii="Times New Roman" w:hAnsi="Times New Roman" w:eastAsia="黑体" w:cs="Times New Roman"/>
          <w:color w:val="auto"/>
          <w:sz w:val="24"/>
          <w:highlight w:val="none"/>
          <w:lang w:val="en-US" w:eastAsia="zh-CN"/>
        </w:rPr>
        <w:t>近年类似业绩情况</w:t>
      </w:r>
    </w:p>
    <w:p>
      <w:pPr>
        <w:spacing w:line="440" w:lineRule="exact"/>
        <w:ind w:left="1619" w:leftChars="771"/>
        <w:rPr>
          <w:rFonts w:hint="eastAsia" w:ascii="Times New Roman" w:hAnsi="Times New Roman" w:eastAsia="黑体" w:cs="Times New Roman"/>
          <w:color w:val="auto"/>
          <w:sz w:val="24"/>
          <w:highlight w:val="none"/>
          <w:lang w:val="en-US" w:eastAsia="zh-CN"/>
        </w:rPr>
      </w:pPr>
      <w:bookmarkStart w:id="125" w:name="_Toc24082_WPSOffice_Level1"/>
      <w:bookmarkStart w:id="126" w:name="_Toc31314_WPSOffice_Level1"/>
      <w:bookmarkStart w:id="127" w:name="_Toc12459_WPSOffice_Level1"/>
      <w:bookmarkStart w:id="128" w:name="_Toc24262_WPSOffice_Level1"/>
      <w:r>
        <w:rPr>
          <w:rFonts w:hint="eastAsia" w:ascii="Times New Roman" w:hAnsi="Times New Roman" w:eastAsia="黑体" w:cs="Times New Roman"/>
          <w:color w:val="auto"/>
          <w:sz w:val="24"/>
          <w:highlight w:val="none"/>
          <w:lang w:val="en-US" w:eastAsia="zh-CN"/>
        </w:rPr>
        <w:t>六</w:t>
      </w:r>
      <w:r>
        <w:rPr>
          <w:rFonts w:ascii="Times New Roman" w:hAnsi="Times New Roman" w:eastAsia="黑体" w:cs="Times New Roman"/>
          <w:color w:val="auto"/>
          <w:sz w:val="24"/>
          <w:highlight w:val="none"/>
        </w:rPr>
        <w:t>、</w:t>
      </w:r>
      <w:bookmarkEnd w:id="125"/>
      <w:bookmarkEnd w:id="126"/>
      <w:r>
        <w:rPr>
          <w:rFonts w:hint="eastAsia" w:ascii="Times New Roman" w:hAnsi="Times New Roman" w:eastAsia="黑体" w:cs="Times New Roman"/>
          <w:color w:val="auto"/>
          <w:sz w:val="24"/>
          <w:highlight w:val="none"/>
          <w:lang w:val="en-US" w:eastAsia="zh-CN"/>
        </w:rPr>
        <w:t>信誉情况</w:t>
      </w:r>
    </w:p>
    <w:bookmarkEnd w:id="108"/>
    <w:bookmarkEnd w:id="127"/>
    <w:bookmarkEnd w:id="128"/>
    <w:p>
      <w:pPr>
        <w:spacing w:line="440" w:lineRule="exact"/>
        <w:ind w:left="1619" w:leftChars="771"/>
        <w:rPr>
          <w:rFonts w:hint="default" w:ascii="Times New Roman" w:hAnsi="Times New Roman" w:eastAsia="黑体" w:cs="Times New Roman"/>
          <w:color w:val="auto"/>
          <w:sz w:val="24"/>
          <w:highlight w:val="none"/>
        </w:rPr>
      </w:pPr>
    </w:p>
    <w:p>
      <w:pPr>
        <w:spacing w:line="440" w:lineRule="exact"/>
        <w:ind w:left="1619" w:leftChars="771"/>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29" w:name="_Toc29399_WPSOffice_Level1"/>
      <w:bookmarkStart w:id="130" w:name="_Toc30031_WPSOffice_Level1"/>
      <w:bookmarkStart w:id="131" w:name="_Toc2765_WPSOffice_Level1"/>
      <w:bookmarkStart w:id="132" w:name="_Toc18312_WPSOffice_Level1"/>
      <w:bookmarkStart w:id="133" w:name="_Toc1687_WPSOffice_Level1"/>
      <w:r>
        <w:rPr>
          <w:rFonts w:hint="default" w:ascii="Times New Roman" w:hAnsi="Times New Roman" w:eastAsia="黑体" w:cs="Times New Roman"/>
          <w:color w:val="auto"/>
          <w:sz w:val="28"/>
          <w:szCs w:val="28"/>
          <w:highlight w:val="none"/>
        </w:rPr>
        <w:t>一、</w:t>
      </w:r>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129"/>
      <w:bookmarkEnd w:id="130"/>
      <w:bookmarkEnd w:id="131"/>
      <w:bookmarkEnd w:id="132"/>
      <w:bookmarkEnd w:id="133"/>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hint="eastAsia" w:ascii="Times New Roman" w:hAnsi="Times New Roman" w:cs="Times New Roman"/>
          <w:color w:val="auto"/>
          <w:sz w:val="21"/>
          <w:szCs w:val="22"/>
          <w:highlight w:val="none"/>
          <w:u w:val="single"/>
          <w:lang w:val="en-US" w:eastAsia="zh-CN"/>
        </w:rPr>
        <w:t xml:space="preserve">             第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3420" w:firstLineChars="1425"/>
        <w:rPr>
          <w:rFonts w:hint="default" w:ascii="Times New Roman" w:hAnsi="Times New Roman" w:cs="Times New Roman"/>
          <w:color w:val="auto"/>
          <w:sz w:val="24"/>
          <w:highlight w:val="none"/>
          <w:lang w:val="en-US" w:eastAsia="zh-CN"/>
        </w:rPr>
      </w:pP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bookmarkStart w:id="165" w:name="_GoBack"/>
      <w:bookmarkEnd w:id="165"/>
    </w:p>
    <w:p>
      <w:pPr>
        <w:spacing w:line="440" w:lineRule="exact"/>
        <w:jc w:val="center"/>
        <w:rPr>
          <w:rFonts w:hint="default" w:ascii="Times New Roman" w:hAnsi="Times New Roman" w:eastAsia="黑体" w:cs="Times New Roman"/>
          <w:color w:val="auto"/>
          <w:sz w:val="28"/>
          <w:szCs w:val="28"/>
          <w:highlight w:val="none"/>
        </w:rPr>
      </w:pPr>
      <w:bookmarkStart w:id="134" w:name="_Toc8695_WPSOffice_Level1"/>
      <w:bookmarkStart w:id="135" w:name="_Toc18668_WPSOffice_Level1"/>
      <w:bookmarkStart w:id="136" w:name="_Toc12530_WPSOffice_Level1"/>
      <w:bookmarkStart w:id="137" w:name="_Toc14563_WPSOffice_Level1"/>
      <w:bookmarkStart w:id="138" w:name="_Toc32350_WPSOffice_Level1"/>
      <w:r>
        <w:rPr>
          <w:rFonts w:hint="default" w:ascii="Times New Roman" w:hAnsi="Times New Roman" w:eastAsia="黑体" w:cs="Times New Roman"/>
          <w:color w:val="auto"/>
          <w:sz w:val="28"/>
          <w:szCs w:val="28"/>
          <w:highlight w:val="none"/>
        </w:rPr>
        <w:t>二、法定代表人身份证明及授权委托书</w:t>
      </w:r>
      <w:bookmarkEnd w:id="134"/>
      <w:bookmarkEnd w:id="135"/>
      <w:bookmarkEnd w:id="136"/>
      <w:bookmarkEnd w:id="137"/>
      <w:bookmarkEnd w:id="138"/>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139" w:name="_Toc5153_WPSOffice_Level2"/>
      <w:bookmarkStart w:id="140" w:name="_Toc20803_WPSOffice_Level2"/>
      <w:r>
        <w:rPr>
          <w:rFonts w:hint="default" w:ascii="Times New Roman" w:hAnsi="Times New Roman" w:eastAsia="黑体" w:cs="Times New Roman"/>
          <w:bCs/>
          <w:color w:val="auto"/>
          <w:sz w:val="28"/>
          <w:szCs w:val="28"/>
          <w:highlight w:val="none"/>
        </w:rPr>
        <w:t>2-1 法定代表人身份证明</w:t>
      </w:r>
      <w:bookmarkEnd w:id="139"/>
      <w:bookmarkEnd w:id="140"/>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年龄：</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141" w:name="_Toc12035_WPSOffice_Level2"/>
      <w:bookmarkStart w:id="142" w:name="_Toc19768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141"/>
      <w:bookmarkEnd w:id="142"/>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143" w:name="_Toc32085_WPSOffice_Level1"/>
      <w:bookmarkStart w:id="144" w:name="_Toc24530_WPSOffice_Level1"/>
      <w:bookmarkStart w:id="145" w:name="_Toc15186_WPSOffice_Level1"/>
      <w:bookmarkStart w:id="146" w:name="_Toc24567_WPSOffice_Level1"/>
      <w:bookmarkStart w:id="147" w:name="_Toc12942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143"/>
      <w:bookmarkEnd w:id="144"/>
      <w:bookmarkEnd w:id="145"/>
      <w:bookmarkEnd w:id="146"/>
      <w:r>
        <w:rPr>
          <w:rFonts w:hint="eastAsia" w:ascii="Times New Roman" w:hAnsi="Times New Roman" w:eastAsia="黑体" w:cs="Times New Roman"/>
          <w:color w:val="auto"/>
          <w:sz w:val="28"/>
          <w:szCs w:val="28"/>
          <w:highlight w:val="none"/>
          <w:lang w:eastAsia="zh-CN"/>
        </w:rPr>
        <w:t>报价清单</w:t>
      </w:r>
      <w:bookmarkEnd w:id="147"/>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 xml:space="preserve">    包</w:t>
      </w:r>
      <w:r>
        <w:rPr>
          <w:rFonts w:hint="eastAsia" w:ascii="Times New Roman" w:hAnsi="Times New Roman" w:eastAsia="黑体" w:cs="Times New Roman"/>
          <w:color w:val="auto"/>
          <w:sz w:val="28"/>
          <w:szCs w:val="28"/>
          <w:highlight w:val="none"/>
          <w:lang w:eastAsia="zh-CN"/>
        </w:rPr>
        <w:t>）</w:t>
      </w:r>
    </w:p>
    <w:p>
      <w:pPr>
        <w:rPr>
          <w:rFonts w:hint="eastAsia" w:ascii="仿宋" w:hAnsi="仿宋" w:eastAsia="仿宋"/>
          <w:sz w:val="30"/>
          <w:szCs w:val="30"/>
        </w:rPr>
      </w:pPr>
    </w:p>
    <w:tbl>
      <w:tblPr>
        <w:tblStyle w:val="11"/>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noWrap w:val="0"/>
            <w:vAlign w:val="center"/>
          </w:tcPr>
          <w:p>
            <w:pPr>
              <w:ind w:firstLine="0" w:firstLineChars="0"/>
              <w:jc w:val="center"/>
              <w:rPr>
                <w:sz w:val="30"/>
                <w:szCs w:val="30"/>
              </w:rPr>
            </w:pPr>
            <w:r>
              <w:rPr>
                <w:rFonts w:hint="eastAsia"/>
                <w:sz w:val="30"/>
                <w:szCs w:val="30"/>
              </w:rPr>
              <w:t>序号</w:t>
            </w:r>
          </w:p>
        </w:tc>
        <w:tc>
          <w:tcPr>
            <w:tcW w:w="1170" w:type="dxa"/>
            <w:noWrap w:val="0"/>
            <w:vAlign w:val="center"/>
          </w:tcPr>
          <w:p>
            <w:pPr>
              <w:ind w:firstLine="0" w:firstLineChars="0"/>
              <w:jc w:val="center"/>
              <w:rPr>
                <w:sz w:val="30"/>
                <w:szCs w:val="30"/>
              </w:rPr>
            </w:pPr>
            <w:r>
              <w:rPr>
                <w:rFonts w:hint="eastAsia"/>
                <w:sz w:val="30"/>
                <w:szCs w:val="30"/>
              </w:rPr>
              <w:t>名称</w:t>
            </w:r>
          </w:p>
        </w:tc>
        <w:tc>
          <w:tcPr>
            <w:tcW w:w="1845" w:type="dxa"/>
            <w:noWrap w:val="0"/>
            <w:vAlign w:val="center"/>
          </w:tcPr>
          <w:p>
            <w:pPr>
              <w:ind w:firstLine="0" w:firstLineChars="0"/>
              <w:jc w:val="center"/>
              <w:rPr>
                <w:sz w:val="30"/>
                <w:szCs w:val="30"/>
              </w:rPr>
            </w:pPr>
            <w:r>
              <w:rPr>
                <w:rFonts w:hint="eastAsia"/>
                <w:sz w:val="30"/>
                <w:szCs w:val="30"/>
              </w:rPr>
              <w:t>品牌型号</w:t>
            </w:r>
          </w:p>
        </w:tc>
        <w:tc>
          <w:tcPr>
            <w:tcW w:w="931" w:type="dxa"/>
            <w:noWrap w:val="0"/>
            <w:vAlign w:val="center"/>
          </w:tcPr>
          <w:p>
            <w:pPr>
              <w:ind w:firstLine="0" w:firstLineChars="0"/>
              <w:jc w:val="center"/>
              <w:rPr>
                <w:sz w:val="30"/>
                <w:szCs w:val="30"/>
              </w:rPr>
            </w:pPr>
            <w:r>
              <w:rPr>
                <w:rFonts w:hint="eastAsia"/>
                <w:sz w:val="30"/>
                <w:szCs w:val="30"/>
              </w:rPr>
              <w:t>单位</w:t>
            </w:r>
          </w:p>
        </w:tc>
        <w:tc>
          <w:tcPr>
            <w:tcW w:w="1065" w:type="dxa"/>
            <w:noWrap w:val="0"/>
            <w:vAlign w:val="center"/>
          </w:tcPr>
          <w:p>
            <w:pPr>
              <w:ind w:firstLine="0" w:firstLineChars="0"/>
              <w:jc w:val="center"/>
              <w:rPr>
                <w:sz w:val="30"/>
                <w:szCs w:val="30"/>
              </w:rPr>
            </w:pPr>
            <w:r>
              <w:rPr>
                <w:rFonts w:hint="eastAsia"/>
                <w:sz w:val="30"/>
                <w:szCs w:val="30"/>
              </w:rPr>
              <w:t>数量</w:t>
            </w:r>
          </w:p>
        </w:tc>
        <w:tc>
          <w:tcPr>
            <w:tcW w:w="1140" w:type="dxa"/>
            <w:noWrap w:val="0"/>
            <w:vAlign w:val="center"/>
          </w:tcPr>
          <w:p>
            <w:pPr>
              <w:ind w:firstLine="0" w:firstLineChars="0"/>
              <w:jc w:val="center"/>
              <w:rPr>
                <w:sz w:val="30"/>
                <w:szCs w:val="30"/>
              </w:rPr>
            </w:pPr>
            <w:r>
              <w:rPr>
                <w:rFonts w:hint="eastAsia"/>
                <w:sz w:val="30"/>
                <w:szCs w:val="30"/>
              </w:rPr>
              <w:t>单价</w:t>
            </w:r>
          </w:p>
        </w:tc>
        <w:tc>
          <w:tcPr>
            <w:tcW w:w="2492"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noWrap w:val="0"/>
            <w:vAlign w:val="center"/>
          </w:tcPr>
          <w:p>
            <w:pPr>
              <w:spacing w:before="100" w:beforeAutospacing="1" w:after="100" w:afterAutospacing="1" w:line="360" w:lineRule="auto"/>
              <w:jc w:val="center"/>
              <w:rPr>
                <w:rFonts w:hint="eastAsia" w:eastAsiaTheme="minorEastAsia"/>
                <w:sz w:val="30"/>
                <w:szCs w:val="30"/>
                <w:lang w:eastAsia="zh-CN"/>
              </w:rPr>
            </w:pPr>
          </w:p>
        </w:tc>
        <w:tc>
          <w:tcPr>
            <w:tcW w:w="1845" w:type="dxa"/>
            <w:noWrap w:val="0"/>
            <w:vAlign w:val="center"/>
          </w:tcPr>
          <w:p>
            <w:pPr>
              <w:spacing w:before="100" w:beforeAutospacing="1" w:after="100" w:afterAutospacing="1" w:line="360" w:lineRule="auto"/>
              <w:jc w:val="center"/>
              <w:rPr>
                <w:sz w:val="28"/>
                <w:szCs w:val="28"/>
              </w:rPr>
            </w:pPr>
          </w:p>
        </w:tc>
        <w:tc>
          <w:tcPr>
            <w:tcW w:w="931" w:type="dxa"/>
            <w:noWrap w:val="0"/>
            <w:vAlign w:val="center"/>
          </w:tcPr>
          <w:p>
            <w:pPr>
              <w:ind w:firstLine="0" w:firstLineChars="0"/>
              <w:jc w:val="center"/>
              <w:rPr>
                <w:sz w:val="30"/>
                <w:szCs w:val="30"/>
              </w:rPr>
            </w:pPr>
          </w:p>
        </w:tc>
        <w:tc>
          <w:tcPr>
            <w:tcW w:w="1065" w:type="dxa"/>
            <w:noWrap w:val="0"/>
            <w:vAlign w:val="center"/>
          </w:tcPr>
          <w:p>
            <w:pPr>
              <w:ind w:firstLine="0" w:firstLineChars="0"/>
              <w:jc w:val="center"/>
              <w:rPr>
                <w:rFonts w:hint="eastAsia" w:eastAsiaTheme="minorEastAsia"/>
                <w:sz w:val="30"/>
                <w:szCs w:val="30"/>
                <w:lang w:eastAsia="zh-CN"/>
              </w:rPr>
            </w:pPr>
          </w:p>
        </w:tc>
        <w:tc>
          <w:tcPr>
            <w:tcW w:w="1140" w:type="dxa"/>
            <w:noWrap w:val="0"/>
            <w:vAlign w:val="center"/>
          </w:tcPr>
          <w:p>
            <w:pPr>
              <w:ind w:firstLine="0" w:firstLineChars="0"/>
              <w:jc w:val="center"/>
              <w:rPr>
                <w:sz w:val="30"/>
                <w:szCs w:val="30"/>
              </w:rPr>
            </w:pPr>
          </w:p>
        </w:tc>
        <w:tc>
          <w:tcPr>
            <w:tcW w:w="2492"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noWrap w:val="0"/>
            <w:vAlign w:val="center"/>
          </w:tcPr>
          <w:p>
            <w:pPr>
              <w:spacing w:before="100" w:beforeAutospacing="1" w:after="100" w:afterAutospacing="1" w:line="360" w:lineRule="auto"/>
              <w:jc w:val="center"/>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合计</w:t>
            </w:r>
          </w:p>
        </w:tc>
        <w:tc>
          <w:tcPr>
            <w:tcW w:w="4981" w:type="dxa"/>
            <w:gridSpan w:val="4"/>
            <w:noWrap w:val="0"/>
            <w:vAlign w:val="center"/>
          </w:tcPr>
          <w:p>
            <w:pPr>
              <w:ind w:firstLine="0" w:firstLineChars="0"/>
              <w:jc w:val="both"/>
              <w:rPr>
                <w:rFonts w:hint="eastAsia" w:asciiTheme="minorHAnsi" w:hAnsiTheme="minorHAnsi" w:eastAsiaTheme="minorEastAsia" w:cstheme="minorBidi"/>
                <w:kern w:val="2"/>
                <w:sz w:val="21"/>
                <w:szCs w:val="24"/>
                <w:lang w:val="en-US" w:eastAsia="zh-CN" w:bidi="ar-SA"/>
              </w:rPr>
            </w:pPr>
            <w:r>
              <w:rPr>
                <w:rFonts w:hint="eastAsia"/>
                <w:sz w:val="30"/>
                <w:szCs w:val="30"/>
                <w:lang w:eastAsia="zh-CN"/>
              </w:rPr>
              <w:t>大写金额：</w:t>
            </w:r>
          </w:p>
        </w:tc>
        <w:tc>
          <w:tcPr>
            <w:tcW w:w="2492" w:type="dxa"/>
            <w:noWrap w:val="0"/>
            <w:vAlign w:val="center"/>
          </w:tcPr>
          <w:p>
            <w:pPr>
              <w:ind w:firstLine="0" w:firstLineChars="0"/>
              <w:jc w:val="both"/>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小写：</w:t>
            </w:r>
          </w:p>
        </w:tc>
      </w:tr>
    </w:tbl>
    <w:p>
      <w:pPr>
        <w:rPr>
          <w:rFonts w:hint="eastAsia" w:ascii="仿宋" w:hAnsi="仿宋" w:eastAsia="仿宋"/>
          <w:sz w:val="30"/>
          <w:szCs w:val="30"/>
        </w:rPr>
      </w:pPr>
      <w:r>
        <w:rPr>
          <w:rFonts w:hint="eastAsia" w:ascii="仿宋" w:hAnsi="仿宋" w:eastAsia="仿宋"/>
          <w:sz w:val="30"/>
          <w:szCs w:val="30"/>
        </w:rPr>
        <w:t>说明：所报价格即最终价格，已包含裸车价等其他相关费用</w:t>
      </w:r>
    </w:p>
    <w:p>
      <w:pPr>
        <w:rPr>
          <w:rFonts w:hint="eastAsia" w:ascii="仿宋" w:hAnsi="仿宋" w:eastAsia="仿宋"/>
          <w:sz w:val="30"/>
          <w:szCs w:val="30"/>
        </w:rPr>
      </w:pPr>
      <w:r>
        <w:rPr>
          <w:rFonts w:hint="eastAsia" w:ascii="仿宋" w:hAnsi="仿宋" w:eastAsia="仿宋"/>
          <w:sz w:val="30"/>
          <w:szCs w:val="30"/>
        </w:rPr>
        <w:t>报价人（单位签章）：</w:t>
      </w:r>
    </w:p>
    <w:p>
      <w:pPr>
        <w:rPr>
          <w:rFonts w:hint="eastAsia"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hint="default" w:ascii="Times New Roman" w:hAnsi="Times New Roman" w:eastAsia="黑体" w:cs="Times New Roman"/>
          <w:color w:val="auto"/>
          <w:sz w:val="24"/>
          <w:highlight w:val="none"/>
        </w:rPr>
      </w:pPr>
      <w:r>
        <w:rPr>
          <w:rFonts w:hint="eastAsia" w:ascii="仿宋" w:hAnsi="仿宋" w:eastAsia="仿宋"/>
          <w:sz w:val="30"/>
          <w:szCs w:val="30"/>
        </w:rPr>
        <w:t>日期：202</w:t>
      </w:r>
      <w:r>
        <w:rPr>
          <w:rFonts w:hint="eastAsia" w:ascii="仿宋" w:hAnsi="仿宋" w:eastAsia="仿宋"/>
          <w:sz w:val="30"/>
          <w:szCs w:val="30"/>
          <w:lang w:val="en-US" w:eastAsia="zh-CN"/>
        </w:rPr>
        <w:t>1</w:t>
      </w:r>
      <w:r>
        <w:rPr>
          <w:rFonts w:hint="eastAsia" w:ascii="仿宋" w:hAnsi="仿宋" w:eastAsia="仿宋"/>
          <w:sz w:val="30"/>
          <w:szCs w:val="30"/>
        </w:rPr>
        <w:t xml:space="preserve">年    月     日  </w:t>
      </w:r>
    </w:p>
    <w:p>
      <w:pPr>
        <w:spacing w:line="440" w:lineRule="exact"/>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bidi w:val="0"/>
        <w:rPr>
          <w:rFonts w:hint="default"/>
        </w:rPr>
      </w:pPr>
    </w:p>
    <w:p>
      <w:pPr>
        <w:spacing w:line="440" w:lineRule="exact"/>
        <w:jc w:val="center"/>
        <w:rPr>
          <w:rFonts w:hint="eastAsia"/>
          <w:lang w:eastAsia="zh-CN"/>
        </w:rPr>
      </w:pPr>
    </w:p>
    <w:p>
      <w:pPr>
        <w:topLinePunct/>
        <w:spacing w:line="440" w:lineRule="exact"/>
        <w:jc w:val="center"/>
        <w:rPr>
          <w:rFonts w:hint="default" w:ascii="Times New Roman" w:hAnsi="Times New Roman" w:eastAsia="黑体" w:cs="Times New Roman"/>
          <w:color w:val="auto"/>
          <w:sz w:val="28"/>
          <w:szCs w:val="28"/>
          <w:highlight w:val="none"/>
        </w:rPr>
      </w:pPr>
      <w:bookmarkStart w:id="148" w:name="_Toc23545_WPSOffice_Level1"/>
      <w:bookmarkStart w:id="149" w:name="_Toc31445_WPSOffice_Level1"/>
      <w:bookmarkStart w:id="150" w:name="_Toc10436_WPSOffice_Level1"/>
      <w:bookmarkStart w:id="151" w:name="_Toc22815_WPSOffice_Level1"/>
      <w:bookmarkStart w:id="152" w:name="_Toc7738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153" w:name="_Toc2807_WPSOffice_Level2"/>
      <w:bookmarkStart w:id="154" w:name="_Toc27600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148"/>
      <w:bookmarkEnd w:id="149"/>
      <w:bookmarkEnd w:id="150"/>
      <w:bookmarkEnd w:id="151"/>
      <w:bookmarkEnd w:id="152"/>
      <w:bookmarkEnd w:id="153"/>
      <w:bookmarkEnd w:id="154"/>
    </w:p>
    <w:p>
      <w:pPr>
        <w:topLinePunct/>
        <w:spacing w:line="440" w:lineRule="exact"/>
        <w:jc w:val="center"/>
        <w:rPr>
          <w:rFonts w:hint="default" w:ascii="Times New Roman" w:hAnsi="Times New Roman" w:cs="Times New Roman"/>
          <w:color w:val="auto"/>
          <w:sz w:val="23"/>
          <w:szCs w:val="23"/>
          <w:highlight w:val="none"/>
        </w:rPr>
      </w:pPr>
    </w:p>
    <w:tbl>
      <w:tblPr>
        <w:tblStyle w:val="11"/>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color w:val="auto"/>
                <w:szCs w:val="21"/>
                <w:highlight w:val="none"/>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（如有）、授权代理证明材料（如有）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pStyle w:val="6"/>
        <w:spacing w:line="240" w:lineRule="atLeast"/>
        <w:ind w:left="560" w:leftChars="0" w:right="-512" w:rightChars="-244" w:hanging="560" w:hangingChars="200"/>
        <w:jc w:val="center"/>
        <w:rPr>
          <w:rFonts w:hint="default" w:ascii="Times New Roman" w:hAnsi="Times New Roman" w:cs="Times New Roman"/>
          <w:color w:val="auto"/>
          <w:sz w:val="28"/>
          <w:szCs w:val="28"/>
          <w:highlight w:val="none"/>
        </w:rPr>
      </w:pPr>
      <w:bookmarkStart w:id="155" w:name="_Toc18547_WPSOffice_Level1"/>
      <w:bookmarkStart w:id="156" w:name="_Toc5072_WPSOffice_Level1"/>
      <w:bookmarkStart w:id="157" w:name="_Toc3772_WPSOffice_Level1"/>
      <w:bookmarkStart w:id="158" w:name="_Toc19004_WPSOffice_Level1"/>
      <w:bookmarkStart w:id="159" w:name="_Toc1452_WPSOffice_Level1"/>
      <w:r>
        <w:rPr>
          <w:rFonts w:hint="eastAsia" w:ascii="Times New Roman" w:hAnsi="Times New Roman" w:eastAsia="黑体" w:cs="Times New Roman"/>
          <w:color w:val="auto"/>
          <w:sz w:val="28"/>
          <w:szCs w:val="28"/>
          <w:highlight w:val="none"/>
          <w:lang w:val="en-US" w:eastAsia="zh-CN"/>
        </w:rPr>
        <w:t>五</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eastAsia="zh-CN"/>
        </w:rPr>
        <w:t>近年类似业绩情况</w:t>
      </w:r>
      <w:bookmarkEnd w:id="155"/>
      <w:bookmarkEnd w:id="156"/>
      <w:bookmarkEnd w:id="157"/>
      <w:bookmarkEnd w:id="158"/>
      <w:bookmarkEnd w:id="159"/>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供货地点</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地址</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电话</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合同价格</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val="en-US" w:eastAsia="zh-CN"/>
              </w:rPr>
              <w:t>供货期</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供货型号及数量</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项目描述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bl>
    <w:p>
      <w:pPr>
        <w:widowControl/>
        <w:autoSpaceDE w:val="0"/>
        <w:autoSpaceDN w:val="0"/>
        <w:spacing w:line="360" w:lineRule="atLeast"/>
        <w:ind w:left="418" w:leftChars="0" w:hanging="418" w:hangingChars="209"/>
        <w:textAlignment w:val="bottom"/>
        <w:rPr>
          <w:rFonts w:hint="default" w:ascii="Times New Roman" w:hAnsi="Times New Roman" w:eastAsia="黑体" w:cs="Times New Roman"/>
          <w:color w:val="auto"/>
          <w:szCs w:val="21"/>
          <w:highlight w:val="none"/>
          <w:lang w:eastAsia="zh-CN"/>
        </w:rPr>
      </w:pPr>
      <w:r>
        <w:rPr>
          <w:rFonts w:hint="default" w:ascii="Times New Roman" w:hAnsi="Times New Roman" w:eastAsia="黑体" w:cs="Times New Roman"/>
          <w:color w:val="auto"/>
          <w:sz w:val="20"/>
          <w:szCs w:val="20"/>
          <w:highlight w:val="none"/>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eastAsia="zh-CN"/>
        </w:rPr>
      </w:pPr>
      <w:r>
        <w:rPr>
          <w:rFonts w:hint="eastAsia" w:ascii="Times New Roman" w:hAnsi="Times New Roman" w:eastAsia="黑体" w:cs="Times New Roman"/>
          <w:color w:val="auto"/>
          <w:szCs w:val="21"/>
          <w:highlight w:val="none"/>
          <w:lang w:val="en-US" w:eastAsia="zh-CN"/>
        </w:rPr>
        <w:t>1、</w:t>
      </w:r>
      <w:r>
        <w:rPr>
          <w:rFonts w:hint="default" w:ascii="Times New Roman" w:hAnsi="Times New Roman" w:eastAsia="黑体" w:cs="Times New Roman"/>
          <w:color w:val="auto"/>
          <w:szCs w:val="21"/>
          <w:highlight w:val="none"/>
          <w:lang w:eastAsia="zh-CN"/>
        </w:rPr>
        <w:t>每张表格只填写一个项目，并标明序号。</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2、业绩证明材料要求：</w:t>
      </w:r>
      <w:r>
        <w:rPr>
          <w:rFonts w:hint="eastAsia" w:ascii="Times New Roman" w:hAnsi="Times New Roman" w:eastAsia="黑体" w:cs="Times New Roman"/>
          <w:color w:val="auto"/>
          <w:szCs w:val="21"/>
          <w:highlight w:val="none"/>
          <w:u w:val="single"/>
          <w:lang w:val="en-US" w:eastAsia="zh-CN"/>
        </w:rPr>
        <w:t>近2年内销售车辆的合同或其他证明材料</w:t>
      </w:r>
      <w:r>
        <w:rPr>
          <w:rFonts w:hint="eastAsia" w:ascii="Times New Roman" w:hAnsi="Times New Roman" w:eastAsia="黑体" w:cs="Times New Roman"/>
          <w:color w:val="auto"/>
          <w:szCs w:val="21"/>
          <w:highlight w:val="none"/>
          <w:lang w:val="en-US" w:eastAsia="zh-CN"/>
        </w:rPr>
        <w:t>。</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 w:val="27"/>
          <w:szCs w:val="27"/>
          <w:highlight w:val="none"/>
        </w:rPr>
      </w:pPr>
      <w:r>
        <w:rPr>
          <w:rFonts w:hint="eastAsia" w:ascii="Times New Roman" w:hAnsi="Times New Roman" w:eastAsia="黑体" w:cs="Times New Roman"/>
          <w:color w:val="auto"/>
          <w:szCs w:val="21"/>
          <w:highlight w:val="none"/>
          <w:lang w:val="en-US" w:eastAsia="zh-CN"/>
        </w:rPr>
        <w:t>3、</w:t>
      </w:r>
      <w:r>
        <w:rPr>
          <w:rFonts w:hint="default" w:ascii="Times New Roman" w:hAnsi="Times New Roman" w:eastAsia="黑体" w:cs="Times New Roman"/>
          <w:color w:val="auto"/>
          <w:szCs w:val="21"/>
          <w:highlight w:val="none"/>
          <w:lang w:eastAsia="zh-CN"/>
        </w:rPr>
        <w:t>如近年来，供应商法人机构发生合法变更或重组或法人名称变更时，应提供相关部门的合法批件或其他相关证明材料来证明其所附业绩的继承性。</w:t>
      </w:r>
    </w:p>
    <w:p>
      <w:pPr>
        <w:pStyle w:val="2"/>
        <w:rPr>
          <w:rFonts w:hint="default" w:ascii="Times New Roman" w:hAnsi="Times New Roman"/>
          <w:color w:val="auto"/>
          <w:highlight w:val="none"/>
        </w:rPr>
      </w:pPr>
    </w:p>
    <w:p>
      <w:pPr>
        <w:topLinePunct/>
        <w:spacing w:line="340" w:lineRule="atLeas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8"/>
          <w:szCs w:val="28"/>
          <w:highlight w:val="none"/>
        </w:rPr>
        <w:br w:type="page"/>
      </w:r>
    </w:p>
    <w:p>
      <w:pPr>
        <w:tabs>
          <w:tab w:val="left" w:pos="3060"/>
        </w:tabs>
        <w:topLinePunct/>
        <w:spacing w:line="440" w:lineRule="exact"/>
        <w:jc w:val="center"/>
        <w:rPr>
          <w:rFonts w:hint="default" w:ascii="Times New Roman" w:hAnsi="Times New Roman" w:eastAsia="黑体" w:cs="Times New Roman"/>
          <w:color w:val="auto"/>
          <w:sz w:val="28"/>
          <w:szCs w:val="28"/>
          <w:highlight w:val="none"/>
          <w:lang w:val="en-US" w:eastAsia="zh-CN"/>
        </w:rPr>
      </w:pPr>
      <w:bookmarkStart w:id="160" w:name="_Toc9267_WPSOffice_Level1"/>
      <w:bookmarkStart w:id="161" w:name="_Toc30712_WPSOffice_Level1"/>
      <w:bookmarkStart w:id="162" w:name="_Toc3893_WPSOffice_Level1"/>
      <w:bookmarkStart w:id="163" w:name="_Toc5403_WPSOffice_Level1"/>
      <w:bookmarkStart w:id="164" w:name="_Toc12019_WPSOffice_Level1"/>
      <w:r>
        <w:rPr>
          <w:rFonts w:hint="eastAsia" w:ascii="Times New Roman" w:hAnsi="Times New Roman" w:eastAsia="黑体" w:cs="Times New Roman"/>
          <w:color w:val="auto"/>
          <w:sz w:val="28"/>
          <w:szCs w:val="28"/>
          <w:highlight w:val="none"/>
          <w:lang w:val="en-US" w:eastAsia="zh-CN"/>
        </w:rPr>
        <w:t>六</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160"/>
      <w:bookmarkEnd w:id="161"/>
      <w:bookmarkEnd w:id="162"/>
      <w:bookmarkEnd w:id="163"/>
      <w:bookmarkEnd w:id="164"/>
    </w:p>
    <w:p>
      <w:pPr>
        <w:topLinePunct/>
        <w:spacing w:line="440" w:lineRule="exact"/>
        <w:rPr>
          <w:rFonts w:hint="default" w:ascii="Times New Roman" w:hAnsi="Times New Roman" w:cs="Times New Roman"/>
          <w:bCs/>
          <w:color w:val="auto"/>
          <w:sz w:val="23"/>
          <w:szCs w:val="23"/>
          <w:highlight w:val="none"/>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2"/>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2"/>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2"/>
        <w:rPr>
          <w:rFonts w:hint="default"/>
          <w:color w:val="auto"/>
          <w:highlight w:val="none"/>
        </w:rPr>
      </w:pPr>
    </w:p>
    <w:p>
      <w:pPr>
        <w:pStyle w:val="2"/>
        <w:spacing w:line="440" w:lineRule="exact"/>
        <w:rPr>
          <w:rFonts w:hint="default" w:ascii="Times New Roman" w:hAnsi="Times New Roman" w:cs="Times New Roman"/>
          <w:color w:val="auto"/>
          <w:sz w:val="24"/>
          <w:highlight w:val="none"/>
        </w:rPr>
      </w:pPr>
    </w:p>
    <w:p>
      <w:pPr>
        <w:spacing w:line="400" w:lineRule="atLeast"/>
        <w:jc w:val="both"/>
      </w:pPr>
    </w:p>
    <w:p>
      <w:pPr>
        <w:pStyle w:val="2"/>
      </w:pPr>
    </w:p>
    <w:p>
      <w:pPr>
        <w:pStyle w:val="2"/>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AE6B1245"/>
    <w:multiLevelType w:val="singleLevel"/>
    <w:tmpl w:val="AE6B1245"/>
    <w:lvl w:ilvl="0" w:tentative="0">
      <w:start w:val="2"/>
      <w:numFmt w:val="decimal"/>
      <w:suff w:val="nothing"/>
      <w:lvlText w:val="（%1）"/>
      <w:lvlJc w:val="left"/>
    </w:lvl>
  </w:abstractNum>
  <w:abstractNum w:abstractNumId="2">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3">
    <w:nsid w:val="4DFADC70"/>
    <w:multiLevelType w:val="singleLevel"/>
    <w:tmpl w:val="4DFADC70"/>
    <w:lvl w:ilvl="0" w:tentative="0">
      <w:start w:val="2"/>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41CB0"/>
    <w:rsid w:val="001D799F"/>
    <w:rsid w:val="00210A1D"/>
    <w:rsid w:val="016467FF"/>
    <w:rsid w:val="028275B1"/>
    <w:rsid w:val="02D65DED"/>
    <w:rsid w:val="033E575A"/>
    <w:rsid w:val="03DF68F4"/>
    <w:rsid w:val="03ED0A2F"/>
    <w:rsid w:val="04457667"/>
    <w:rsid w:val="052B12A4"/>
    <w:rsid w:val="06233674"/>
    <w:rsid w:val="08D840D9"/>
    <w:rsid w:val="09A35E85"/>
    <w:rsid w:val="0CEE2538"/>
    <w:rsid w:val="0DE55C13"/>
    <w:rsid w:val="0EC70BFA"/>
    <w:rsid w:val="1055158F"/>
    <w:rsid w:val="107348E1"/>
    <w:rsid w:val="11F4632B"/>
    <w:rsid w:val="12243423"/>
    <w:rsid w:val="12371F81"/>
    <w:rsid w:val="12752E29"/>
    <w:rsid w:val="129B7928"/>
    <w:rsid w:val="146A70C1"/>
    <w:rsid w:val="15C36A4E"/>
    <w:rsid w:val="16057AB2"/>
    <w:rsid w:val="17606543"/>
    <w:rsid w:val="1781794F"/>
    <w:rsid w:val="199C3B12"/>
    <w:rsid w:val="1D435A83"/>
    <w:rsid w:val="1DEE3EE6"/>
    <w:rsid w:val="1EB01493"/>
    <w:rsid w:val="209A4709"/>
    <w:rsid w:val="21FC1CC5"/>
    <w:rsid w:val="220F22ED"/>
    <w:rsid w:val="228C37EE"/>
    <w:rsid w:val="23202A87"/>
    <w:rsid w:val="249A29C0"/>
    <w:rsid w:val="2507530A"/>
    <w:rsid w:val="25D376ED"/>
    <w:rsid w:val="270A6B81"/>
    <w:rsid w:val="27224050"/>
    <w:rsid w:val="27A22B9A"/>
    <w:rsid w:val="28CB2405"/>
    <w:rsid w:val="2A9758C1"/>
    <w:rsid w:val="2AA86D0F"/>
    <w:rsid w:val="2AC0255C"/>
    <w:rsid w:val="2ACA3C75"/>
    <w:rsid w:val="2D5E7110"/>
    <w:rsid w:val="2E452391"/>
    <w:rsid w:val="2E5113E2"/>
    <w:rsid w:val="2EBF392D"/>
    <w:rsid w:val="2F7E56E8"/>
    <w:rsid w:val="300C6F30"/>
    <w:rsid w:val="30B751B3"/>
    <w:rsid w:val="32E2300A"/>
    <w:rsid w:val="346C40F4"/>
    <w:rsid w:val="36980DD0"/>
    <w:rsid w:val="371B6C62"/>
    <w:rsid w:val="383261D0"/>
    <w:rsid w:val="39266477"/>
    <w:rsid w:val="39C01BBA"/>
    <w:rsid w:val="3AB3450A"/>
    <w:rsid w:val="3AB73885"/>
    <w:rsid w:val="3AFA4DDD"/>
    <w:rsid w:val="3B41700C"/>
    <w:rsid w:val="3BBE774B"/>
    <w:rsid w:val="3CC669C0"/>
    <w:rsid w:val="3D191420"/>
    <w:rsid w:val="3ECD7713"/>
    <w:rsid w:val="4173688E"/>
    <w:rsid w:val="417807D9"/>
    <w:rsid w:val="418D27F5"/>
    <w:rsid w:val="42E63A7F"/>
    <w:rsid w:val="43541CB0"/>
    <w:rsid w:val="43C646E2"/>
    <w:rsid w:val="46CA2A30"/>
    <w:rsid w:val="46E55EA9"/>
    <w:rsid w:val="46E903F6"/>
    <w:rsid w:val="4A6E2D05"/>
    <w:rsid w:val="4B8143F2"/>
    <w:rsid w:val="4BC624A8"/>
    <w:rsid w:val="4CE67327"/>
    <w:rsid w:val="4CEB61EE"/>
    <w:rsid w:val="4D640D09"/>
    <w:rsid w:val="4DAB5909"/>
    <w:rsid w:val="4F4B5944"/>
    <w:rsid w:val="52EC44CE"/>
    <w:rsid w:val="57AC473C"/>
    <w:rsid w:val="583B5BED"/>
    <w:rsid w:val="59020C98"/>
    <w:rsid w:val="59A76356"/>
    <w:rsid w:val="5B1001B5"/>
    <w:rsid w:val="5B811F6C"/>
    <w:rsid w:val="5BCF6F3C"/>
    <w:rsid w:val="5BD55463"/>
    <w:rsid w:val="5BD64EC0"/>
    <w:rsid w:val="5CC6567E"/>
    <w:rsid w:val="5DCF2540"/>
    <w:rsid w:val="5DDE0A36"/>
    <w:rsid w:val="5DE9733D"/>
    <w:rsid w:val="60094922"/>
    <w:rsid w:val="61D740F7"/>
    <w:rsid w:val="6228683D"/>
    <w:rsid w:val="62756CE9"/>
    <w:rsid w:val="62E56056"/>
    <w:rsid w:val="63023C14"/>
    <w:rsid w:val="63295801"/>
    <w:rsid w:val="639E2905"/>
    <w:rsid w:val="64CF0127"/>
    <w:rsid w:val="664E5351"/>
    <w:rsid w:val="66ED6329"/>
    <w:rsid w:val="6777089F"/>
    <w:rsid w:val="68E44CD3"/>
    <w:rsid w:val="69692F41"/>
    <w:rsid w:val="699A4896"/>
    <w:rsid w:val="6B9532DD"/>
    <w:rsid w:val="6C0356D1"/>
    <w:rsid w:val="6D407B93"/>
    <w:rsid w:val="6D7A5E4E"/>
    <w:rsid w:val="6DB0119C"/>
    <w:rsid w:val="6E5227E6"/>
    <w:rsid w:val="6E680A74"/>
    <w:rsid w:val="6F7D4D72"/>
    <w:rsid w:val="6FBF6389"/>
    <w:rsid w:val="70E66DDE"/>
    <w:rsid w:val="71F83650"/>
    <w:rsid w:val="7481099D"/>
    <w:rsid w:val="751C632F"/>
    <w:rsid w:val="76373B59"/>
    <w:rsid w:val="765B6B67"/>
    <w:rsid w:val="769B5423"/>
    <w:rsid w:val="77A870F8"/>
    <w:rsid w:val="77D9063B"/>
    <w:rsid w:val="78FC7191"/>
    <w:rsid w:val="7A6E4C98"/>
    <w:rsid w:val="7B367327"/>
    <w:rsid w:val="7B5E2AA7"/>
    <w:rsid w:val="7BF7759F"/>
    <w:rsid w:val="7CD4053F"/>
    <w:rsid w:val="7D796EE5"/>
    <w:rsid w:val="7E0247C5"/>
    <w:rsid w:val="7ED65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19"/>
    <w:qFormat/>
    <w:uiPriority w:val="0"/>
    <w:pPr>
      <w:keepNext/>
      <w:keepLines/>
      <w:numPr>
        <w:ilvl w:val="0"/>
        <w:numId w:val="2"/>
      </w:numPr>
      <w:spacing w:line="360" w:lineRule="auto"/>
      <w:outlineLvl w:val="1"/>
    </w:pPr>
    <w:rPr>
      <w:rFonts w:ascii="Arial" w:hAnsi="Arial"/>
      <w:b/>
      <w:bCs/>
      <w:sz w:val="28"/>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ind w:firstLine="420"/>
    </w:pPr>
    <w:rPr>
      <w:szCs w:val="20"/>
    </w:r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10">
    <w:name w:val="Body Text First Indent 2"/>
    <w:basedOn w:val="6"/>
    <w:unhideWhenUsed/>
    <w:qFormat/>
    <w:uiPriority w:val="99"/>
    <w:pPr>
      <w:ind w:firstLine="420" w:firstLineChars="200"/>
    </w:pPr>
    <w:rPr>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 w:type="paragraph" w:customStyle="1" w:styleId="17">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8">
    <w:name w:val="正文 题目"/>
    <w:basedOn w:val="1"/>
    <w:qFormat/>
    <w:uiPriority w:val="0"/>
    <w:pPr>
      <w:ind w:firstLine="0" w:firstLineChars="0"/>
      <w:jc w:val="center"/>
    </w:pPr>
    <w:rPr>
      <w:rFonts w:ascii="黑体" w:hAnsi="黑体" w:eastAsia="黑体"/>
      <w:sz w:val="28"/>
    </w:rPr>
  </w:style>
  <w:style w:type="character" w:customStyle="1" w:styleId="19">
    <w:name w:val="标题 2 Char"/>
    <w:link w:val="4"/>
    <w:qFormat/>
    <w:uiPriority w:val="0"/>
    <w:rPr>
      <w:rFonts w:ascii="Arial" w:hAnsi="Arial"/>
      <w:b/>
      <w:bCs/>
      <w:sz w:val="28"/>
      <w:szCs w:val="32"/>
    </w:rPr>
  </w:style>
  <w:style w:type="character" w:customStyle="1" w:styleId="20">
    <w:name w:val="font01"/>
    <w:basedOn w:val="13"/>
    <w:qFormat/>
    <w:uiPriority w:val="0"/>
    <w:rPr>
      <w:rFonts w:hint="eastAsia" w:ascii="宋体" w:hAnsi="宋体" w:eastAsia="宋体" w:cs="宋体"/>
      <w:color w:val="000000"/>
      <w:sz w:val="20"/>
      <w:szCs w:val="20"/>
      <w:u w:val="none"/>
    </w:rPr>
  </w:style>
  <w:style w:type="character" w:customStyle="1" w:styleId="21">
    <w:name w:val="font31"/>
    <w:basedOn w:val="13"/>
    <w:qFormat/>
    <w:uiPriority w:val="0"/>
    <w:rPr>
      <w:rFonts w:hint="eastAsia" w:ascii="宋体" w:hAnsi="宋体" w:eastAsia="宋体" w:cs="宋体"/>
      <w:color w:val="000000"/>
      <w:sz w:val="24"/>
      <w:szCs w:val="24"/>
      <w:u w:val="none"/>
    </w:rPr>
  </w:style>
  <w:style w:type="character" w:customStyle="1" w:styleId="22">
    <w:name w:val="font61"/>
    <w:basedOn w:val="13"/>
    <w:qFormat/>
    <w:uiPriority w:val="0"/>
    <w:rPr>
      <w:rFonts w:hint="default" w:ascii="Times New Roman" w:hAnsi="Times New Roman" w:cs="Times New Roman"/>
      <w:color w:val="000000"/>
      <w:sz w:val="24"/>
      <w:szCs w:val="24"/>
      <w:u w:val="none"/>
    </w:rPr>
  </w:style>
  <w:style w:type="character" w:customStyle="1" w:styleId="23">
    <w:name w:val="font11"/>
    <w:basedOn w:val="13"/>
    <w:qFormat/>
    <w:uiPriority w:val="0"/>
    <w:rPr>
      <w:rFonts w:hint="eastAsia" w:ascii="宋体" w:hAnsi="宋体" w:eastAsia="宋体" w:cs="宋体"/>
      <w:color w:val="000000"/>
      <w:sz w:val="24"/>
      <w:szCs w:val="24"/>
      <w:u w:val="none"/>
    </w:rPr>
  </w:style>
  <w:style w:type="character" w:customStyle="1" w:styleId="24">
    <w:name w:val="font51"/>
    <w:basedOn w:val="13"/>
    <w:qFormat/>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2021-04-13T09:09:14Z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9287CD1DB6F74A3D9E0854E8BB5C20FA</vt:lpwstr>
  </property>
</Properties>
</file>