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color w:val="FF0000"/>
          <w:sz w:val="44"/>
          <w:szCs w:val="44"/>
        </w:rPr>
      </w:pPr>
      <w:r>
        <w:rPr>
          <w:rFonts w:ascii="方正粗黑宋简体" w:hAnsi="方正粗黑宋简体" w:eastAsia="方正粗黑宋简体" w:cs="宋体"/>
          <w:b/>
          <w:bCs/>
          <w:sz w:val="44"/>
          <w:szCs w:val="44"/>
        </w:rPr>
        <w:t xml:space="preserve"> </w:t>
      </w:r>
      <w:r>
        <w:rPr>
          <w:rFonts w:hint="eastAsia" w:ascii="方正粗黑宋简体" w:hAnsi="方正粗黑宋简体" w:eastAsia="方正粗黑宋简体" w:cs="宋体"/>
          <w:b/>
          <w:bCs/>
          <w:sz w:val="44"/>
          <w:szCs w:val="44"/>
        </w:rPr>
        <w:t>2022年度安徽交运集团汽车销售有限公司</w:t>
      </w:r>
      <w:r>
        <w:rPr>
          <w:rFonts w:hint="eastAsia" w:ascii="方正粗黑宋简体" w:hAnsi="方正粗黑宋简体" w:eastAsia="方正粗黑宋简体" w:cs="宋体"/>
          <w:b/>
          <w:bCs/>
          <w:sz w:val="44"/>
          <w:szCs w:val="44"/>
          <w:lang w:val="en-US" w:eastAsia="zh-CN"/>
        </w:rPr>
        <w:t>6.20</w:t>
      </w:r>
      <w:r>
        <w:rPr>
          <w:rFonts w:hint="eastAsia" w:ascii="方正粗黑宋简体" w:hAnsi="方正粗黑宋简体" w:eastAsia="方正粗黑宋简体" w:cs="宋体"/>
          <w:b/>
          <w:bCs/>
          <w:sz w:val="44"/>
          <w:szCs w:val="44"/>
        </w:rPr>
        <w:t>特种车辆采购</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日</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期</w:t>
      </w:r>
      <w:r>
        <w:rPr>
          <w:rFonts w:ascii="Times New Roman" w:hAnsi="Times New Roman" w:cs="Times New Roman"/>
          <w:sz w:val="32"/>
          <w:szCs w:val="32"/>
        </w:rPr>
        <w:t>：</w:t>
      </w:r>
      <w:r>
        <w:rPr>
          <w:rFonts w:hint="eastAsia" w:ascii="Times New Roman" w:hAnsi="Times New Roman" w:eastAsia="黑体" w:cs="Times New Roman"/>
          <w:sz w:val="32"/>
          <w:szCs w:val="32"/>
          <w:u w:val="single"/>
        </w:rPr>
        <w:t>2022</w:t>
      </w:r>
      <w:r>
        <w:rPr>
          <w:rFonts w:ascii="Times New Roman" w:hAnsi="Times New Roman" w:cs="Times New Roman"/>
          <w:sz w:val="32"/>
          <w:szCs w:val="32"/>
        </w:rPr>
        <w:t>年</w:t>
      </w:r>
      <w:r>
        <w:rPr>
          <w:rFonts w:hint="eastAsia" w:ascii="Times New Roman" w:hAnsi="Times New Roman" w:cs="Times New Roman"/>
          <w:sz w:val="32"/>
          <w:szCs w:val="32"/>
          <w:u w:val="single"/>
        </w:rPr>
        <w:t xml:space="preserve"> </w:t>
      </w:r>
      <w:r>
        <w:rPr>
          <w:rFonts w:hint="eastAsia" w:ascii="Times New Roman" w:hAnsi="Times New Roman" w:cs="Times New Roman"/>
          <w:sz w:val="32"/>
          <w:szCs w:val="32"/>
          <w:u w:val="single"/>
          <w:lang w:val="en-US" w:eastAsia="zh-CN"/>
        </w:rPr>
        <w:t>6</w:t>
      </w:r>
      <w:r>
        <w:rPr>
          <w:rFonts w:hint="eastAsia" w:ascii="Times New Roman" w:hAnsi="Times New Roman" w:cs="Times New Roman"/>
          <w:sz w:val="32"/>
          <w:szCs w:val="32"/>
          <w:u w:val="single"/>
        </w:rPr>
        <w:t xml:space="preserve"> </w:t>
      </w:r>
      <w:r>
        <w:rPr>
          <w:rFonts w:ascii="Times New Roman" w:hAnsi="Times New Roman" w:cs="Times New Roman"/>
          <w:sz w:val="32"/>
          <w:szCs w:val="32"/>
        </w:rPr>
        <w:t>月</w:t>
      </w:r>
      <w:r>
        <w:rPr>
          <w:rFonts w:hint="eastAsia" w:ascii="Times New Roman" w:hAnsi="Times New Roman" w:cs="Times New Roman"/>
          <w:sz w:val="32"/>
          <w:szCs w:val="32"/>
          <w:u w:val="single"/>
        </w:rPr>
        <w:t xml:space="preserve"> </w:t>
      </w:r>
      <w:r>
        <w:rPr>
          <w:rFonts w:hint="eastAsia" w:ascii="Times New Roman" w:hAnsi="Times New Roman" w:cs="Times New Roman"/>
          <w:sz w:val="32"/>
          <w:szCs w:val="32"/>
          <w:u w:val="single"/>
          <w:lang w:val="en-US" w:eastAsia="zh-CN"/>
        </w:rPr>
        <w:t>20</w:t>
      </w:r>
      <w:r>
        <w:rPr>
          <w:rFonts w:ascii="Times New Roman" w:hAnsi="Times New Roman" w:cs="Times New Roman"/>
          <w:sz w:val="32"/>
          <w:szCs w:val="32"/>
          <w:u w:val="single"/>
        </w:rPr>
        <w:t xml:space="preserve"> </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20"/>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0"/>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0"/>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ascii="Times New Roman" w:hAnsi="Times New Roman" w:eastAsia="黑体" w:cs="Times New Roman"/>
          <w:bCs w:val="0"/>
          <w:sz w:val="22"/>
          <w:szCs w:val="15"/>
        </w:rPr>
      </w:pPr>
      <w:bookmarkStart w:id="2" w:name="_Toc6496_WPSOffice_Level2"/>
      <w:bookmarkStart w:id="3" w:name="_Toc24354_WPSOffice_Level2"/>
      <w:bookmarkStart w:id="4" w:name="_Toc525632585"/>
      <w:bookmarkStart w:id="5" w:name="_Toc4489_WPSOffice_Level2"/>
      <w:bookmarkStart w:id="6" w:name="_Toc13871"/>
      <w:bookmarkStart w:id="7" w:name="_Toc12765"/>
      <w:bookmarkStart w:id="8" w:name="_Toc10395_WPSOffice_Level2"/>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b/>
          <w:bCs/>
          <w:color w:val="FF0000"/>
          <w:sz w:val="44"/>
          <w:szCs w:val="44"/>
        </w:rPr>
      </w:pPr>
      <w:r>
        <w:rPr>
          <w:rFonts w:ascii="Times New Roman" w:hAnsi="Times New Roman" w:cs="Times New Roman"/>
          <w:szCs w:val="22"/>
        </w:rPr>
        <w:t>1.1</w:t>
      </w:r>
      <w:r>
        <w:rPr>
          <w:rFonts w:ascii="Times New Roman" w:hAnsi="Times New Roman" w:cs="Times New Roman"/>
          <w:color w:val="FF0000"/>
          <w:szCs w:val="22"/>
        </w:rPr>
        <w:t xml:space="preserve"> </w:t>
      </w:r>
      <w:r>
        <w:rPr>
          <w:rFonts w:ascii="Times New Roman" w:hAnsi="Times New Roman" w:cs="Times New Roman"/>
          <w:szCs w:val="22"/>
        </w:rPr>
        <w:t>项目名称：</w:t>
      </w:r>
      <w:r>
        <w:rPr>
          <w:rFonts w:hint="eastAsia" w:ascii="宋体" w:hAnsi="宋体" w:eastAsia="宋体" w:cs="宋体"/>
          <w:szCs w:val="21"/>
          <w:u w:val="single"/>
        </w:rPr>
        <w:t xml:space="preserve"> 2022年度安徽交运集团汽车销售有限公司</w:t>
      </w:r>
      <w:r>
        <w:rPr>
          <w:rFonts w:hint="eastAsia" w:ascii="宋体" w:hAnsi="宋体" w:eastAsia="宋体" w:cs="宋体"/>
          <w:szCs w:val="21"/>
          <w:u w:val="single"/>
          <w:lang w:val="en-US" w:eastAsia="zh-CN"/>
        </w:rPr>
        <w:t>6.20</w:t>
      </w:r>
      <w:r>
        <w:rPr>
          <w:rFonts w:hint="eastAsia" w:ascii="宋体" w:hAnsi="宋体" w:eastAsia="宋体" w:cs="宋体"/>
          <w:szCs w:val="21"/>
          <w:u w:val="single"/>
        </w:rPr>
        <w:t>特种车辆采购</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1.2 采</w:t>
      </w:r>
      <w:r>
        <w:rPr>
          <w:rFonts w:hint="eastAsia" w:ascii="Times New Roman" w:hAnsi="Times New Roman" w:cs="Times New Roman"/>
          <w:szCs w:val="22"/>
        </w:rPr>
        <w:t xml:space="preserve"> </w:t>
      </w:r>
      <w:r>
        <w:rPr>
          <w:rFonts w:ascii="Times New Roman" w:hAnsi="Times New Roman" w:cs="Times New Roman"/>
          <w:szCs w:val="22"/>
        </w:rPr>
        <w:t>购</w:t>
      </w:r>
      <w:r>
        <w:rPr>
          <w:rFonts w:hint="eastAsia" w:ascii="Times New Roman" w:hAnsi="Times New Roman" w:cs="Times New Roman"/>
          <w:szCs w:val="22"/>
        </w:rPr>
        <w:t xml:space="preserve"> </w:t>
      </w:r>
      <w:r>
        <w:rPr>
          <w:rFonts w:ascii="Times New Roman" w:hAnsi="Times New Roman" w:cs="Times New Roman"/>
          <w:szCs w:val="22"/>
        </w:rPr>
        <w:t>人：</w:t>
      </w:r>
      <w:r>
        <w:rPr>
          <w:rFonts w:hint="eastAsia" w:ascii="Times New Roman" w:hAnsi="Times New Roman" w:cs="Times New Roman"/>
          <w:szCs w:val="22"/>
          <w:u w:val="single"/>
        </w:rPr>
        <w:t>安徽交运集团汽车销售有限公司</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1.3 项目概况：</w:t>
      </w:r>
      <w:r>
        <w:rPr>
          <w:rFonts w:hint="eastAsia" w:ascii="Times New Roman" w:hAnsi="Times New Roman" w:cs="Times New Roman"/>
          <w:szCs w:val="22"/>
          <w:u w:val="single"/>
          <w:lang w:val="en-US" w:eastAsia="zh-CN"/>
        </w:rPr>
        <w:t>为了</w:t>
      </w:r>
      <w:r>
        <w:rPr>
          <w:rFonts w:hint="eastAsia" w:ascii="Times New Roman" w:hAnsi="Times New Roman" w:cs="Times New Roman"/>
          <w:szCs w:val="22"/>
          <w:u w:val="single"/>
        </w:rPr>
        <w:t>进一步提升辖段除雪保畅通能力</w:t>
      </w:r>
      <w:r>
        <w:rPr>
          <w:rFonts w:hint="eastAsia" w:ascii="Times New Roman" w:hAnsi="Times New Roman" w:cs="Times New Roman"/>
          <w:szCs w:val="22"/>
          <w:u w:val="single"/>
          <w:lang w:eastAsia="zh-CN"/>
        </w:rPr>
        <w:t>，</w:t>
      </w:r>
      <w:r>
        <w:rPr>
          <w:rFonts w:hint="eastAsia" w:ascii="Times New Roman" w:hAnsi="Times New Roman" w:cs="Times New Roman"/>
          <w:szCs w:val="22"/>
          <w:u w:val="single"/>
        </w:rPr>
        <w:t>采购除雪车</w:t>
      </w:r>
      <w:r>
        <w:rPr>
          <w:rFonts w:hint="eastAsia" w:ascii="Times New Roman" w:hAnsi="Times New Roman" w:cs="Times New Roman"/>
          <w:szCs w:val="22"/>
          <w:u w:val="single"/>
          <w:lang w:val="en-US" w:eastAsia="zh-CN"/>
        </w:rPr>
        <w:t>2</w:t>
      </w:r>
      <w:r>
        <w:rPr>
          <w:rFonts w:hint="eastAsia" w:ascii="Times New Roman" w:hAnsi="Times New Roman" w:cs="Times New Roman"/>
          <w:szCs w:val="22"/>
          <w:u w:val="single"/>
        </w:rPr>
        <w:t>台，</w:t>
      </w:r>
      <w:r>
        <w:rPr>
          <w:rFonts w:hint="eastAsia" w:ascii="Times New Roman" w:hAnsi="Times New Roman" w:cs="Times New Roman"/>
          <w:szCs w:val="22"/>
          <w:u w:val="single"/>
          <w:lang w:eastAsia="zh-CN"/>
        </w:rPr>
        <w:t>融雪剂撒布机</w:t>
      </w:r>
      <w:r>
        <w:rPr>
          <w:rFonts w:hint="eastAsia" w:ascii="Times New Roman" w:hAnsi="Times New Roman" w:cs="Times New Roman"/>
          <w:szCs w:val="22"/>
          <w:u w:val="single"/>
          <w:lang w:val="en-US" w:eastAsia="zh-CN"/>
        </w:rPr>
        <w:t>1台、除雪铲4台、皮带运输机4台。</w:t>
      </w:r>
    </w:p>
    <w:p>
      <w:pPr>
        <w:pStyle w:val="4"/>
        <w:snapToGrid w:val="0"/>
        <w:spacing w:before="120" w:after="120" w:line="560" w:lineRule="exact"/>
        <w:ind w:firstLine="403"/>
        <w:rPr>
          <w:rFonts w:ascii="Times New Roman" w:hAnsi="Times New Roman" w:eastAsia="黑体" w:cs="Times New Roman"/>
          <w:bCs w:val="0"/>
          <w:sz w:val="22"/>
          <w:szCs w:val="15"/>
        </w:rPr>
      </w:pPr>
      <w:bookmarkStart w:id="9" w:name="_Toc525632586"/>
      <w:bookmarkStart w:id="10" w:name="_Toc8128_WPSOffice_Level2"/>
      <w:bookmarkStart w:id="11" w:name="_Toc17858_WPSOffice_Level2"/>
      <w:bookmarkStart w:id="12" w:name="_Toc23266_WPSOffice_Level2"/>
      <w:bookmarkStart w:id="13" w:name="_Toc18453"/>
      <w:bookmarkStart w:id="14" w:name="_Toc10274"/>
      <w:bookmarkStart w:id="15" w:name="_Toc18367_WPSOffice_Level2"/>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500" w:lineRule="atLeast"/>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p>
    <w:p>
      <w:pPr>
        <w:snapToGrid w:val="0"/>
        <w:spacing w:line="500" w:lineRule="atLeast"/>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500" w:lineRule="atLeast"/>
        <w:ind w:firstLine="420" w:firstLineChars="200"/>
        <w:rPr>
          <w:rFonts w:ascii="Times New Roman" w:hAnsi="Times New Roman" w:cs="Times New Roman"/>
          <w:color w:val="C00000"/>
          <w:szCs w:val="22"/>
          <w:u w:val="single"/>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rPr>
        <w:t>采购除雪车</w:t>
      </w:r>
      <w:r>
        <w:rPr>
          <w:rFonts w:hint="eastAsia" w:ascii="Times New Roman" w:hAnsi="Times New Roman" w:cs="Times New Roman"/>
          <w:szCs w:val="22"/>
          <w:u w:val="single"/>
          <w:lang w:val="en-US" w:eastAsia="zh-CN"/>
        </w:rPr>
        <w:t>2</w:t>
      </w:r>
      <w:r>
        <w:rPr>
          <w:rFonts w:hint="eastAsia" w:ascii="Times New Roman" w:hAnsi="Times New Roman" w:cs="Times New Roman"/>
          <w:szCs w:val="22"/>
          <w:u w:val="single"/>
        </w:rPr>
        <w:t>台，</w:t>
      </w:r>
      <w:r>
        <w:rPr>
          <w:rFonts w:hint="eastAsia" w:ascii="Times New Roman" w:hAnsi="Times New Roman" w:cs="Times New Roman"/>
          <w:szCs w:val="22"/>
          <w:u w:val="single"/>
          <w:lang w:eastAsia="zh-CN"/>
        </w:rPr>
        <w:t>融雪剂撒布机</w:t>
      </w:r>
      <w:r>
        <w:rPr>
          <w:rFonts w:hint="eastAsia" w:ascii="Times New Roman" w:hAnsi="Times New Roman" w:cs="Times New Roman"/>
          <w:szCs w:val="22"/>
          <w:u w:val="single"/>
          <w:lang w:val="en-US" w:eastAsia="zh-CN"/>
        </w:rPr>
        <w:t>1台、除雪铲4台、皮带运输机4台</w:t>
      </w:r>
    </w:p>
    <w:p>
      <w:pPr>
        <w:snapToGrid w:val="0"/>
        <w:spacing w:line="500" w:lineRule="atLeast"/>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 xml:space="preserve">  /  </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8"/>
      <w:r>
        <w:rPr>
          <w:rFonts w:hint="eastAsia" w:ascii="Times New Roman" w:hAnsi="Times New Roman" w:cs="Times New Roman"/>
          <w:szCs w:val="22"/>
          <w:u w:val="single"/>
        </w:rPr>
        <w:t>合同控制价</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185</w:t>
      </w:r>
      <w:r>
        <w:rPr>
          <w:rFonts w:hint="eastAsia" w:ascii="Times New Roman" w:hAnsi="Times New Roman" w:cs="Times New Roman"/>
          <w:szCs w:val="22"/>
          <w:u w:val="single"/>
        </w:rPr>
        <w:t>万元</w:t>
      </w:r>
      <w:r>
        <w:rPr>
          <w:rFonts w:hint="eastAsia" w:ascii="Times New Roman" w:hAnsi="Times New Roman" w:cs="Times New Roman"/>
          <w:szCs w:val="22"/>
          <w:u w:val="single"/>
          <w:lang w:eastAsia="zh-CN"/>
        </w:rPr>
        <w:t>（多功能除雪</w:t>
      </w:r>
      <w:r>
        <w:rPr>
          <w:rFonts w:hint="eastAsia" w:ascii="Times New Roman" w:hAnsi="Times New Roman" w:cs="Times New Roman"/>
          <w:szCs w:val="22"/>
          <w:u w:val="single"/>
          <w:lang w:val="en-US" w:eastAsia="zh-CN"/>
        </w:rPr>
        <w:t>145万，融雪剂撒布机12万，除雪铲20万，皮带运输机8万</w:t>
      </w:r>
      <w:r>
        <w:rPr>
          <w:rFonts w:hint="eastAsia" w:ascii="Times New Roman" w:hAnsi="Times New Roman" w:cs="Times New Roman"/>
          <w:szCs w:val="22"/>
          <w:u w:val="single"/>
          <w:lang w:eastAsia="zh-CN"/>
        </w:rPr>
        <w:t>）</w:t>
      </w:r>
      <w:r>
        <w:rPr>
          <w:rFonts w:hint="eastAsia" w:ascii="Times New Roman" w:hAnsi="Times New Roman" w:cs="Times New Roman"/>
          <w:szCs w:val="22"/>
          <w:u w:val="single"/>
        </w:rPr>
        <w:t>。</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cs="宋体"/>
          <w:szCs w:val="21"/>
          <w:u w:val="single"/>
        </w:rPr>
        <w:t>合同签订之日起</w:t>
      </w:r>
      <w:r>
        <w:rPr>
          <w:rFonts w:hint="eastAsia" w:cs="宋体"/>
          <w:szCs w:val="21"/>
          <w:u w:val="single"/>
          <w:lang w:val="en-US" w:eastAsia="zh-CN"/>
        </w:rPr>
        <w:t>65</w:t>
      </w:r>
      <w:r>
        <w:rPr>
          <w:rFonts w:hint="eastAsia" w:cs="宋体"/>
          <w:szCs w:val="21"/>
          <w:u w:val="single"/>
        </w:rPr>
        <w:t>个工作日。</w:t>
      </w:r>
    </w:p>
    <w:p>
      <w:pPr>
        <w:pStyle w:val="2"/>
        <w:spacing w:line="500" w:lineRule="atLeast"/>
        <w:ind w:firstLine="420"/>
        <w:rPr>
          <w:rFonts w:ascii="Times New Roman" w:hAnsi="Times New Roman" w:cs="Times New Roman"/>
          <w:szCs w:val="22"/>
        </w:rPr>
      </w:pPr>
      <w:r>
        <w:rPr>
          <w:rFonts w:hint="eastAsia" w:ascii="Times New Roman" w:hAnsi="Times New Roman" w:cs="Times New Roman"/>
          <w:szCs w:val="22"/>
        </w:rPr>
        <w:t>2.7 每个供应商对合同包进行报价，报价需含销售差价。</w:t>
      </w:r>
    </w:p>
    <w:p>
      <w:pPr>
        <w:pStyle w:val="34"/>
        <w:spacing w:before="143"/>
        <w:ind w:right="1430"/>
        <w:jc w:val="left"/>
        <w:rPr>
          <w:sz w:val="24"/>
          <w:lang w:val="en-US"/>
        </w:rPr>
      </w:pPr>
      <w:bookmarkStart w:id="19" w:name="_Toc29516_WPSOffice_Level2"/>
      <w:bookmarkStart w:id="20" w:name="_Toc525632587"/>
      <w:bookmarkStart w:id="21" w:name="_Toc22379_WPSOffice_Level2"/>
      <w:bookmarkStart w:id="22" w:name="_Toc3714"/>
      <w:bookmarkStart w:id="23" w:name="_Toc31673_WPSOffice_Level2"/>
      <w:bookmarkStart w:id="24" w:name="_Toc1622_WPSOffice_Level2"/>
      <w:bookmarkStart w:id="25" w:name="_Toc6388"/>
      <w:r>
        <w:rPr>
          <w:rFonts w:hint="eastAsia"/>
          <w:sz w:val="24"/>
          <w:lang w:val="en-US"/>
        </w:rPr>
        <w:t>备注：</w:t>
      </w:r>
    </w:p>
    <w:p>
      <w:pPr>
        <w:spacing w:line="460" w:lineRule="exact"/>
        <w:jc w:val="left"/>
        <w:rPr>
          <w:sz w:val="24"/>
          <w:highlight w:val="green"/>
        </w:rPr>
      </w:pPr>
      <w:r>
        <w:rPr>
          <w:rFonts w:hint="eastAsia"/>
          <w:sz w:val="24"/>
          <w:highlight w:val="green"/>
        </w:rPr>
        <w:t>此项目：供应商须报价需含</w:t>
      </w:r>
      <w:r>
        <w:rPr>
          <w:rFonts w:hint="eastAsia"/>
          <w:sz w:val="24"/>
          <w:highlight w:val="green"/>
          <w:lang w:eastAsia="zh-CN"/>
        </w:rPr>
        <w:t>车辆保险、</w:t>
      </w:r>
      <w:r>
        <w:rPr>
          <w:rFonts w:hint="eastAsia"/>
          <w:sz w:val="24"/>
          <w:highlight w:val="green"/>
        </w:rPr>
        <w:t>车辆购置税</w:t>
      </w:r>
      <w:r>
        <w:rPr>
          <w:rFonts w:hint="eastAsia"/>
          <w:sz w:val="24"/>
          <w:highlight w:val="green"/>
          <w:lang w:eastAsia="zh-CN"/>
        </w:rPr>
        <w:t>、</w:t>
      </w:r>
      <w:r>
        <w:rPr>
          <w:rFonts w:hint="eastAsia"/>
          <w:sz w:val="24"/>
          <w:highlight w:val="green"/>
        </w:rPr>
        <w:t>检测、排污、照相、上牌等所有费用，商业保险（含交强险、车损险（≥车价）、第三者责任险(100万元)、自燃险、人员险10万元/人×座位数、不计免赔特约、玻璃破碎险。上牌时,须按需方指定地点和方式执行,选择的牌号也须经需方认可。需方配合提供公司相关证明及在相关表格加盖公章等）。</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pStyle w:val="10"/>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napToGrid w:val="0"/>
        <w:spacing w:line="440" w:lineRule="exact"/>
        <w:ind w:firstLine="420" w:firstLineChars="200"/>
        <w:rPr>
          <w:rFonts w:ascii="Times New Roman" w:hAnsi="Times New Roman" w:cs="Times New Roman"/>
          <w:szCs w:val="22"/>
          <w:highlight w:val="green"/>
        </w:rPr>
      </w:pPr>
      <w:r>
        <w:rPr>
          <w:rFonts w:ascii="Times New Roman" w:hAnsi="Times New Roman" w:cs="Times New Roman"/>
          <w:szCs w:val="22"/>
          <w:highlight w:val="green"/>
        </w:rPr>
        <w:t>近三年（指</w:t>
      </w:r>
      <w:r>
        <w:rPr>
          <w:rFonts w:hint="eastAsia" w:ascii="Times New Roman" w:hAnsi="Times New Roman" w:cs="Times New Roman"/>
          <w:szCs w:val="22"/>
          <w:highlight w:val="green"/>
        </w:rPr>
        <w:t>2019</w:t>
      </w:r>
      <w:r>
        <w:rPr>
          <w:rFonts w:ascii="Times New Roman" w:hAnsi="Times New Roman" w:cs="Times New Roman"/>
          <w:szCs w:val="22"/>
          <w:highlight w:val="green"/>
        </w:rPr>
        <w:t>年</w:t>
      </w:r>
      <w:r>
        <w:rPr>
          <w:rFonts w:hint="eastAsia" w:ascii="Times New Roman" w:hAnsi="Times New Roman" w:cs="Times New Roman"/>
          <w:szCs w:val="22"/>
          <w:highlight w:val="green"/>
          <w:lang w:val="en-US" w:eastAsia="zh-CN"/>
        </w:rPr>
        <w:t>6</w:t>
      </w:r>
      <w:r>
        <w:rPr>
          <w:rFonts w:ascii="Times New Roman" w:hAnsi="Times New Roman" w:cs="Times New Roman"/>
          <w:szCs w:val="22"/>
          <w:highlight w:val="green"/>
        </w:rPr>
        <w:t>月</w:t>
      </w:r>
      <w:r>
        <w:rPr>
          <w:rFonts w:hint="eastAsia" w:ascii="Times New Roman" w:hAnsi="Times New Roman" w:cs="Times New Roman"/>
          <w:szCs w:val="22"/>
          <w:highlight w:val="green"/>
        </w:rPr>
        <w:t>1</w:t>
      </w:r>
      <w:r>
        <w:rPr>
          <w:rFonts w:ascii="Times New Roman" w:hAnsi="Times New Roman" w:cs="Times New Roman"/>
          <w:szCs w:val="22"/>
          <w:highlight w:val="green"/>
        </w:rPr>
        <w:t>日至响应文件递交截止日期，以</w:t>
      </w:r>
      <w:r>
        <w:rPr>
          <w:rFonts w:hint="eastAsia" w:ascii="Times New Roman" w:hAnsi="Times New Roman" w:cs="Times New Roman"/>
          <w:szCs w:val="22"/>
          <w:highlight w:val="green"/>
        </w:rPr>
        <w:t>合同签订</w:t>
      </w:r>
      <w:r>
        <w:rPr>
          <w:rFonts w:ascii="Times New Roman" w:hAnsi="Times New Roman" w:cs="Times New Roman"/>
          <w:szCs w:val="22"/>
          <w:highlight w:val="green"/>
        </w:rPr>
        <w:t>时间为准）</w:t>
      </w:r>
      <w:r>
        <w:rPr>
          <w:rFonts w:hint="eastAsia" w:ascii="Times New Roman" w:hAnsi="Times New Roman" w:cs="Times New Roman"/>
          <w:szCs w:val="22"/>
          <w:highlight w:val="green"/>
        </w:rPr>
        <w:t>在国内</w:t>
      </w:r>
      <w:r>
        <w:rPr>
          <w:rFonts w:ascii="Times New Roman" w:hAnsi="Times New Roman" w:cs="Times New Roman"/>
          <w:szCs w:val="22"/>
          <w:highlight w:val="green"/>
        </w:rPr>
        <w:t>有4</w:t>
      </w:r>
      <w:r>
        <w:rPr>
          <w:rFonts w:hint="eastAsia" w:ascii="Times New Roman" w:hAnsi="Times New Roman" w:cs="Times New Roman"/>
          <w:szCs w:val="22"/>
          <w:highlight w:val="green"/>
        </w:rPr>
        <w:t>台同类车型</w:t>
      </w:r>
      <w:r>
        <w:rPr>
          <w:rFonts w:ascii="Times New Roman" w:hAnsi="Times New Roman" w:cs="Times New Roman"/>
          <w:szCs w:val="22"/>
          <w:highlight w:val="green"/>
        </w:rPr>
        <w:t>的供货业绩。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2"/>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2"/>
      </w:pPr>
    </w:p>
    <w:p>
      <w:pPr>
        <w:pStyle w:val="4"/>
        <w:snapToGrid w:val="0"/>
        <w:spacing w:before="120" w:after="120" w:line="560" w:lineRule="exact"/>
        <w:ind w:firstLine="403"/>
        <w:rPr>
          <w:rFonts w:ascii="Times New Roman" w:hAnsi="Times New Roman" w:eastAsia="黑体" w:cs="Times New Roman"/>
          <w:bCs w:val="0"/>
          <w:sz w:val="22"/>
          <w:szCs w:val="15"/>
        </w:rPr>
      </w:pPr>
      <w:bookmarkStart w:id="26" w:name="_Toc1994"/>
      <w:bookmarkStart w:id="27" w:name="_Toc29452_WPSOffice_Level2"/>
      <w:bookmarkStart w:id="28" w:name="_Toc4109_WPSOffice_Level2"/>
      <w:bookmarkStart w:id="29" w:name="_Toc525632588"/>
      <w:bookmarkStart w:id="30" w:name="_Toc4751"/>
      <w:bookmarkStart w:id="31" w:name="_Toc25666_WPSOffice_Level2"/>
      <w:bookmarkStart w:id="32" w:name="_Toc2996_WPSOffice_Level2"/>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560" w:lineRule="exact"/>
        <w:ind w:firstLine="403"/>
        <w:rPr>
          <w:rFonts w:ascii="Times New Roman" w:hAnsi="Times New Roman" w:eastAsia="黑体" w:cs="Times New Roman"/>
          <w:bCs w:val="0"/>
          <w:sz w:val="22"/>
          <w:szCs w:val="15"/>
        </w:rPr>
      </w:pPr>
      <w:bookmarkStart w:id="33" w:name="_Toc726"/>
      <w:bookmarkStart w:id="34" w:name="_Toc525632589"/>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响应文件递交的截止时间为</w:t>
      </w:r>
      <w:r>
        <w:rPr>
          <w:rFonts w:hint="eastAsia" w:ascii="Times New Roman" w:hAnsi="Times New Roman" w:cs="Times New Roman"/>
          <w:szCs w:val="22"/>
          <w:u w:val="single"/>
        </w:rPr>
        <w:t>2022</w:t>
      </w:r>
      <w:r>
        <w:rPr>
          <w:rFonts w:ascii="Times New Roman" w:hAnsi="Times New Roman" w:cs="Times New Roman"/>
          <w:szCs w:val="22"/>
        </w:rPr>
        <w:t>年</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6</w:t>
      </w:r>
      <w:r>
        <w:rPr>
          <w:rFonts w:ascii="Times New Roman" w:hAnsi="Times New Roman" w:cs="Times New Roman"/>
          <w:szCs w:val="22"/>
        </w:rPr>
        <w:t>月</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2</w:t>
      </w:r>
      <w:r>
        <w:rPr>
          <w:rFonts w:hint="eastAsia" w:ascii="Times New Roman" w:hAnsi="Times New Roman" w:cs="Times New Roman"/>
          <w:szCs w:val="22"/>
          <w:u w:val="single"/>
        </w:rPr>
        <w:t xml:space="preserve">8 </w:t>
      </w:r>
      <w:r>
        <w:rPr>
          <w:rFonts w:ascii="Times New Roman" w:hAnsi="Times New Roman" w:cs="Times New Roman"/>
          <w:szCs w:val="22"/>
        </w:rPr>
        <w:t>日</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10</w:t>
      </w:r>
      <w:r>
        <w:rPr>
          <w:rFonts w:hint="eastAsia" w:ascii="Times New Roman" w:hAnsi="Times New Roman" w:cs="Times New Roman"/>
          <w:szCs w:val="22"/>
          <w:u w:val="single"/>
        </w:rPr>
        <w:t xml:space="preserve"> </w:t>
      </w:r>
      <w:r>
        <w:rPr>
          <w:rFonts w:ascii="Times New Roman" w:hAnsi="Times New Roman" w:cs="Times New Roman"/>
          <w:szCs w:val="22"/>
        </w:rPr>
        <w:t>时</w:t>
      </w:r>
      <w:r>
        <w:rPr>
          <w:rFonts w:hint="eastAsia" w:ascii="Times New Roman" w:hAnsi="Times New Roman" w:cs="Times New Roman"/>
          <w:szCs w:val="22"/>
          <w:u w:val="single"/>
          <w:lang w:val="en-US" w:eastAsia="zh-CN"/>
        </w:rPr>
        <w:t>0</w:t>
      </w:r>
      <w:r>
        <w:rPr>
          <w:rFonts w:hint="eastAsia" w:ascii="Times New Roman" w:hAnsi="Times New Roman" w:cs="Times New Roman"/>
          <w:szCs w:val="22"/>
          <w:u w:val="single"/>
        </w:rPr>
        <w:t>0</w:t>
      </w:r>
      <w:r>
        <w:rPr>
          <w:rFonts w:ascii="Times New Roman" w:hAnsi="Times New Roman" w:cs="Times New Roman"/>
          <w:szCs w:val="22"/>
        </w:rPr>
        <w:t>分，供应商的法定代表人或其授权代理人应于截止时间前将响应文件</w:t>
      </w:r>
      <w:r>
        <w:rPr>
          <w:rFonts w:hint="eastAsia" w:ascii="Times New Roman" w:hAnsi="Times New Roman" w:cs="Times New Roman"/>
          <w:szCs w:val="22"/>
        </w:rPr>
        <w:t>递交至</w:t>
      </w:r>
      <w:r>
        <w:rPr>
          <w:rFonts w:hint="eastAsia" w:ascii="Times New Roman" w:hAnsi="Times New Roman" w:cs="Times New Roman"/>
          <w:szCs w:val="22"/>
          <w:u w:val="single"/>
        </w:rPr>
        <w:t>合肥市胜利路35号，交通饭店三楼汽车销售有限公司</w:t>
      </w:r>
      <w:r>
        <w:rPr>
          <w:rFonts w:ascii="Times New Roman" w:hAnsi="Times New Roman" w:cs="Times New Roman"/>
          <w:szCs w:val="22"/>
        </w:rPr>
        <w:t>（地点）。</w:t>
      </w:r>
    </w:p>
    <w:p>
      <w:pPr>
        <w:pStyle w:val="12"/>
        <w:spacing w:line="360" w:lineRule="auto"/>
        <w:ind w:left="0" w:leftChars="0" w:firstLine="420" w:firstLineChars="200"/>
      </w:pPr>
      <w:r>
        <w:rPr>
          <w:rFonts w:hint="eastAsia" w:ascii="Times New Roman" w:hAnsi="Times New Roman" w:cs="Times New Roman" w:eastAsiaTheme="minorEastAsia"/>
          <w:color w:val="auto"/>
          <w:kern w:val="2"/>
          <w:sz w:val="21"/>
          <w:szCs w:val="22"/>
          <w:highlight w:val="green"/>
          <w:lang w:val="en-US" w:eastAsia="zh-CN" w:bidi="ar-SA"/>
        </w:rPr>
        <w:t>为了加强疫情防控工作，请参加投标单位于投标前将前来工作人员的行程码、健康码、48小时核酸检测报告提供给我公司进行归档。</w:t>
      </w:r>
    </w:p>
    <w:p>
      <w:pPr>
        <w:pStyle w:val="4"/>
        <w:snapToGrid w:val="0"/>
        <w:spacing w:before="120" w:after="120" w:line="560" w:lineRule="exact"/>
        <w:ind w:firstLine="403"/>
        <w:rPr>
          <w:rFonts w:ascii="Times New Roman" w:hAnsi="Times New Roman" w:eastAsia="黑体" w:cs="Times New Roman"/>
          <w:bCs w:val="0"/>
          <w:sz w:val="22"/>
          <w:szCs w:val="15"/>
        </w:rPr>
      </w:pPr>
      <w:bookmarkStart w:id="35" w:name="_Toc525632591"/>
      <w:bookmarkStart w:id="36" w:name="_Toc22719"/>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交通饭店三楼会议室</w:t>
      </w:r>
      <w:r>
        <w:rPr>
          <w:rFonts w:ascii="Times New Roman" w:hAnsi="Times New Roman" w:cs="Times New Roman"/>
          <w:szCs w:val="22"/>
        </w:rPr>
        <w:t>（地点）组织进行响应文件的启封。供应商的法定代表人或授权代理人应携带本人身份证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snapToGrid w:val="0"/>
        <w:spacing w:line="560" w:lineRule="exact"/>
        <w:ind w:firstLine="420" w:firstLineChars="200"/>
        <w:rPr>
          <w:rFonts w:ascii="Times New Roman" w:hAnsi="Times New Roman"/>
        </w:rPr>
      </w:pPr>
      <w:r>
        <w:rPr>
          <w:rFonts w:hint="eastAsia" w:ascii="Times New Roman" w:hAnsi="Times New Roman"/>
        </w:rPr>
        <w:t>响应保证金的金额：壹万元整（￥10000.00元）</w:t>
      </w:r>
    </w:p>
    <w:p>
      <w:pPr>
        <w:snapToGrid w:val="0"/>
        <w:spacing w:line="560" w:lineRule="exact"/>
        <w:ind w:firstLine="420" w:firstLineChars="200"/>
        <w:rPr>
          <w:rFonts w:ascii="Times New Roman" w:hAnsi="Times New Roman"/>
        </w:rPr>
      </w:pPr>
      <w:r>
        <w:rPr>
          <w:rFonts w:hint="eastAsia" w:ascii="Times New Roman" w:hAnsi="Times New Roman"/>
        </w:rPr>
        <w:t xml:space="preserve">响应保证金的递交形式：响应保证金必须由报价人的基本账户一次性汇入本公告所示账号，并在2022年 </w:t>
      </w:r>
      <w:r>
        <w:rPr>
          <w:rFonts w:hint="eastAsia" w:ascii="Times New Roman" w:hAnsi="Times New Roman"/>
          <w:lang w:val="en-US" w:eastAsia="zh-CN"/>
        </w:rPr>
        <w:t>6</w:t>
      </w:r>
      <w:r>
        <w:rPr>
          <w:rFonts w:hint="eastAsia" w:ascii="Times New Roman" w:hAnsi="Times New Roman"/>
        </w:rPr>
        <w:t xml:space="preserve">月 </w:t>
      </w:r>
      <w:r>
        <w:rPr>
          <w:rFonts w:hint="eastAsia" w:ascii="Times New Roman" w:hAnsi="Times New Roman"/>
          <w:lang w:val="en-US" w:eastAsia="zh-CN"/>
        </w:rPr>
        <w:t>2</w:t>
      </w:r>
      <w:r>
        <w:rPr>
          <w:rFonts w:hint="eastAsia" w:ascii="Times New Roman" w:hAnsi="Times New Roman"/>
        </w:rPr>
        <w:t>7</w:t>
      </w:r>
      <w:r>
        <w:rPr>
          <w:rFonts w:ascii="Times New Roman" w:hAnsi="Times New Roman"/>
        </w:rPr>
        <w:t xml:space="preserve"> </w:t>
      </w:r>
      <w:r>
        <w:rPr>
          <w:rFonts w:hint="eastAsia" w:ascii="Times New Roman" w:hAnsi="Times New Roman"/>
        </w:rPr>
        <w:t>日 14 ：00时前到账，否则无效。如果成为采购人将自动转为履约保证金，交车后三个工作日退回，其他在询比结果公示后三个工作日退回。</w:t>
      </w:r>
    </w:p>
    <w:p>
      <w:pPr>
        <w:snapToGrid w:val="0"/>
        <w:spacing w:line="560" w:lineRule="exact"/>
        <w:ind w:firstLine="420" w:firstLineChars="200"/>
        <w:rPr>
          <w:rFonts w:ascii="Times New Roman" w:hAnsi="Times New Roman"/>
        </w:rPr>
      </w:pPr>
      <w:r>
        <w:rPr>
          <w:rFonts w:hint="eastAsia" w:ascii="Times New Roman" w:hAnsi="Times New Roman"/>
        </w:rPr>
        <w:t>递交账号：</w:t>
      </w:r>
    </w:p>
    <w:p>
      <w:pPr>
        <w:snapToGrid w:val="0"/>
        <w:spacing w:line="560" w:lineRule="exact"/>
        <w:ind w:firstLine="420" w:firstLineChars="200"/>
        <w:rPr>
          <w:rFonts w:ascii="Times New Roman" w:hAnsi="Times New Roman"/>
        </w:rPr>
      </w:pPr>
      <w:r>
        <w:rPr>
          <w:rFonts w:hint="eastAsia" w:ascii="Times New Roman" w:hAnsi="Times New Roman"/>
        </w:rPr>
        <w:t>户名：安徽交运集团汽车销售有限公司</w:t>
      </w:r>
      <w:r>
        <w:rPr>
          <w:rFonts w:hint="eastAsia" w:ascii="Times New Roman" w:hAnsi="Times New Roman"/>
        </w:rPr>
        <w:tab/>
      </w:r>
    </w:p>
    <w:p>
      <w:pPr>
        <w:snapToGrid w:val="0"/>
        <w:spacing w:line="560" w:lineRule="exact"/>
        <w:ind w:firstLine="420" w:firstLineChars="200"/>
        <w:rPr>
          <w:rFonts w:ascii="Times New Roman" w:hAnsi="Times New Roman"/>
        </w:rPr>
      </w:pPr>
      <w:r>
        <w:rPr>
          <w:rFonts w:hint="eastAsia" w:ascii="Times New Roman" w:hAnsi="Times New Roman"/>
        </w:rPr>
        <w:t>账号：</w:t>
      </w:r>
      <w:r>
        <w:rPr>
          <w:rFonts w:ascii="Times New Roman" w:hAnsi="Times New Roman"/>
        </w:rPr>
        <w:t>1024201021000343519</w:t>
      </w:r>
    </w:p>
    <w:p>
      <w:pPr>
        <w:snapToGrid w:val="0"/>
        <w:spacing w:line="560" w:lineRule="exact"/>
        <w:ind w:firstLine="420" w:firstLineChars="200"/>
        <w:rPr>
          <w:rFonts w:ascii="Times New Roman" w:hAnsi="Times New Roman"/>
        </w:rPr>
      </w:pPr>
      <w:r>
        <w:rPr>
          <w:rFonts w:hint="eastAsia" w:ascii="Times New Roman" w:hAnsi="Times New Roman"/>
        </w:rPr>
        <w:t>开户银行：徽商银行合肥新站支行</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4"/>
        <w:snapToGrid w:val="0"/>
        <w:spacing w:before="120" w:after="120" w:line="560" w:lineRule="exact"/>
        <w:ind w:firstLine="403"/>
        <w:rPr>
          <w:rFonts w:ascii="Times New Roman" w:hAnsi="Times New Roman" w:eastAsia="黑体" w:cs="Times New Roman"/>
          <w:bCs w:val="0"/>
          <w:sz w:val="22"/>
          <w:szCs w:val="15"/>
        </w:rPr>
      </w:pPr>
      <w:bookmarkStart w:id="37" w:name="_Toc8501"/>
      <w:bookmarkStart w:id="38" w:name="_Toc525632592"/>
      <w:bookmarkStart w:id="39" w:name="_Toc14943_WPSOffice_Level2"/>
      <w:bookmarkStart w:id="40" w:name="_Toc28571_WPSOffice_Level2"/>
      <w:bookmarkStart w:id="41" w:name="_Toc26829"/>
      <w:bookmarkStart w:id="42" w:name="_Toc20572_WPSOffice_Level2"/>
      <w:bookmarkStart w:id="43" w:name="_Toc321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安徽交运集团汽车销售有限公司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w:t>
      </w:r>
      <w:r>
        <w:rPr>
          <w:rFonts w:hint="eastAsia" w:ascii="Times New Roman" w:hAnsi="Times New Roman" w:cs="Times New Roman"/>
          <w:szCs w:val="22"/>
          <w:lang w:val="en-US" w:eastAsia="zh-CN"/>
        </w:rPr>
        <w:t xml:space="preserve">  </w:t>
      </w:r>
      <w:r>
        <w:rPr>
          <w:rFonts w:ascii="Times New Roman" w:hAnsi="Times New Roman" w:cs="Times New Roman"/>
          <w:szCs w:val="22"/>
        </w:rPr>
        <w:t>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13956910769/0551-64299058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hint="eastAsia" w:ascii="Times New Roman" w:hAnsi="Times New Roman" w:cs="Times New Roman"/>
          <w:szCs w:val="22"/>
          <w:u w:val="single"/>
        </w:rPr>
        <w:t>ahjyxs@163.com</w:t>
      </w:r>
    </w:p>
    <w:p>
      <w:pPr>
        <w:pStyle w:val="21"/>
        <w:jc w:val="center"/>
        <w:rPr>
          <w:rFonts w:hint="default" w:ascii="Times New Roman" w:hAnsi="Times New Roman"/>
          <w:color w:val="auto"/>
          <w:sz w:val="21"/>
          <w:szCs w:val="22"/>
        </w:rPr>
      </w:pPr>
    </w:p>
    <w:p>
      <w:pPr>
        <w:pStyle w:val="21"/>
        <w:jc w:val="center"/>
        <w:rPr>
          <w:rFonts w:hint="default" w:ascii="Times New Roman" w:hAnsi="Times New Roman"/>
          <w:color w:val="auto"/>
          <w:szCs w:val="28"/>
        </w:rPr>
      </w:pPr>
      <w:r>
        <w:rPr>
          <w:rFonts w:ascii="Times New Roman" w:hAnsi="Times New Roman"/>
          <w:color w:val="auto"/>
          <w:sz w:val="21"/>
          <w:szCs w:val="22"/>
        </w:rPr>
        <w:t xml:space="preserve">                                                             2022</w:t>
      </w:r>
      <w:r>
        <w:rPr>
          <w:rFonts w:hint="default" w:ascii="Times New Roman" w:hAnsi="Times New Roman"/>
          <w:color w:val="auto"/>
          <w:sz w:val="21"/>
          <w:szCs w:val="22"/>
        </w:rPr>
        <w:t>年</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6</w:t>
      </w:r>
      <w:r>
        <w:rPr>
          <w:rFonts w:ascii="Times New Roman" w:hAnsi="Times New Roman"/>
          <w:color w:val="auto"/>
          <w:sz w:val="21"/>
          <w:szCs w:val="22"/>
        </w:rPr>
        <w:t xml:space="preserve"> </w:t>
      </w:r>
      <w:r>
        <w:rPr>
          <w:rFonts w:hint="default" w:ascii="Times New Roman" w:hAnsi="Times New Roman"/>
          <w:color w:val="auto"/>
          <w:sz w:val="21"/>
          <w:szCs w:val="22"/>
        </w:rPr>
        <w:t>月</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20</w:t>
      </w:r>
      <w:r>
        <w:rPr>
          <w:rFonts w:ascii="Times New Roman" w:hAnsi="Times New Roman"/>
          <w:color w:val="auto"/>
          <w:sz w:val="21"/>
          <w:szCs w:val="22"/>
        </w:rPr>
        <w:t xml:space="preserve">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3"/>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第二章</w:t>
      </w:r>
      <w:r>
        <w:rPr>
          <w:rFonts w:ascii="Times New Roman" w:hAnsi="Times New Roman" w:eastAsia="宋体" w:cs="Times New Roman"/>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14201229"/>
      <w:bookmarkStart w:id="45" w:name="_Toc26656960"/>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14201230"/>
      <w:bookmarkStart w:id="47" w:name="_Toc26656961"/>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14201232"/>
      <w:bookmarkStart w:id="49" w:name="_Toc26656963"/>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响应文件</w:t>
      </w:r>
      <w:r>
        <w:rPr>
          <w:rFonts w:ascii="Times New Roman" w:hAnsi="Times New Roman" w:eastAsia="宋体"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(项目</w:t>
      </w:r>
      <w:r>
        <w:rPr>
          <w:rFonts w:hint="eastAsia" w:ascii="宋体" w:hAnsi="宋体" w:eastAsia="宋体" w:cs="宋体"/>
          <w:u w:val="single"/>
        </w:rPr>
        <w:t>名称</w:t>
      </w:r>
      <w:r>
        <w:rPr>
          <w:rFonts w:hint="eastAsia" w:ascii="宋体" w:hAnsi="宋体" w:eastAsia="宋体" w:cs="宋体"/>
          <w:bCs/>
          <w:snapToGrid w:val="0"/>
          <w:kern w:val="0"/>
          <w:szCs w:val="21"/>
          <w:u w:val="single"/>
        </w:rPr>
        <w:t>)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文件签到表签名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9067725"/>
      <w:bookmarkStart w:id="51" w:name="_Toc26656972"/>
      <w:bookmarkStart w:id="52" w:name="_Toc14201241"/>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14201242"/>
      <w:bookmarkStart w:id="54" w:name="_Toc26656973"/>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26656975"/>
      <w:bookmarkStart w:id="56"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26656976"/>
      <w:bookmarkStart w:id="58" w:name="_Toc9067726"/>
      <w:bookmarkStart w:id="59" w:name="_Toc14201245"/>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14201246"/>
      <w:bookmarkStart w:id="61" w:name="_Toc26656977"/>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14201247"/>
      <w:bookmarkStart w:id="63" w:name="_Toc26656978"/>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26656979"/>
      <w:bookmarkStart w:id="65" w:name="_Toc14201248"/>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14201257"/>
      <w:bookmarkStart w:id="69" w:name="_Toc26656988"/>
      <w:bookmarkStart w:id="70" w:name="_Toc906772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26656993"/>
      <w:bookmarkStart w:id="72"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26656994"/>
      <w:bookmarkStart w:id="74" w:name="_Toc9067731"/>
      <w:bookmarkStart w:id="75"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1"/>
        <w:jc w:val="right"/>
        <w:rPr>
          <w:rFonts w:hint="default" w:ascii="Times New Roman" w:hAnsi="Times New Roman"/>
          <w:color w:val="auto"/>
          <w:sz w:val="21"/>
          <w:szCs w:val="2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3"/>
        <w:tblW w:w="9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28</w:t>
            </w:r>
          </w:p>
        </w:tc>
        <w:tc>
          <w:tcPr>
            <w:tcW w:w="4668" w:type="dxa"/>
            <w:vAlign w:val="center"/>
          </w:tcPr>
          <w:p>
            <w:pPr>
              <w:pStyle w:val="2"/>
            </w:pPr>
            <w:r>
              <w:rPr>
                <w:rFonts w:hint="eastAsia"/>
              </w:rPr>
              <w:t>1、任何一项带“★”号为主要技术指标、参数或性能描述没有实质性响应招标文件的要求,技术部分得0分。</w:t>
            </w:r>
          </w:p>
          <w:p>
            <w:pPr>
              <w:pStyle w:val="2"/>
            </w:pPr>
            <w:r>
              <w:rPr>
                <w:rFonts w:hint="eastAsia"/>
              </w:rPr>
              <w:t>2、报价文件中提供主要技术参数均满足询价文件要求的，得基本分</w:t>
            </w:r>
            <w:r>
              <w:rPr>
                <w:rFonts w:hint="eastAsia"/>
                <w:lang w:val="en-US" w:eastAsia="zh-CN"/>
              </w:rPr>
              <w:t>15</w:t>
            </w:r>
            <w:r>
              <w:rPr>
                <w:rFonts w:hint="eastAsia"/>
              </w:rPr>
              <w:t>分；在此基础上：</w:t>
            </w:r>
          </w:p>
          <w:p>
            <w:pPr>
              <w:pStyle w:val="2"/>
            </w:pPr>
            <w:r>
              <w:rPr>
                <w:rFonts w:hint="eastAsia"/>
              </w:rPr>
              <w:t>主要技术参数优于询价文件要求的，每有一项加</w:t>
            </w:r>
            <w:r>
              <w:rPr>
                <w:rFonts w:hint="eastAsia"/>
                <w:lang w:val="en-US" w:eastAsia="zh-CN"/>
              </w:rPr>
              <w:t>1</w:t>
            </w:r>
            <w:r>
              <w:rPr>
                <w:rFonts w:hint="eastAsia"/>
              </w:rPr>
              <w:t>分，本项最多加</w:t>
            </w:r>
            <w:r>
              <w:rPr>
                <w:rFonts w:hint="eastAsia"/>
                <w:lang w:val="en-US" w:eastAsia="zh-CN"/>
              </w:rPr>
              <w:t>13</w:t>
            </w:r>
            <w:r>
              <w:rPr>
                <w:rFonts w:hint="eastAsia"/>
              </w:rPr>
              <w:t>分。</w:t>
            </w:r>
            <w:r>
              <w:rPr>
                <w:rFonts w:hint="eastAsia"/>
                <w:lang w:eastAsia="zh-CN"/>
              </w:rPr>
              <w:t>非</w:t>
            </w:r>
            <w:r>
              <w:rPr>
                <w:rFonts w:hint="eastAsia"/>
              </w:rPr>
              <w:t>主要技术参数低于询价文件要求的，每项扣2</w:t>
            </w:r>
            <w:r>
              <w:rPr>
                <w:rFonts w:hint="eastAsia"/>
                <w:lang w:val="en-US" w:eastAsia="zh-CN"/>
              </w:rPr>
              <w:t xml:space="preserve"> </w:t>
            </w:r>
            <w:r>
              <w:rPr>
                <w:rFonts w:hint="eastAsia"/>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4</w:t>
            </w:r>
          </w:p>
        </w:tc>
        <w:tc>
          <w:tcPr>
            <w:tcW w:w="4668" w:type="dxa"/>
            <w:vAlign w:val="center"/>
          </w:tcPr>
          <w:p>
            <w:pPr>
              <w:pStyle w:val="2"/>
            </w:pPr>
            <w:r>
              <w:rPr>
                <w:rFonts w:hint="eastAsia"/>
              </w:rPr>
              <w:t>投标人提供的业绩满足询价文件资格要求的，得基本分</w:t>
            </w:r>
            <w:r>
              <w:rPr>
                <w:rFonts w:hint="eastAsia"/>
                <w:lang w:val="en-US" w:eastAsia="zh-CN"/>
              </w:rPr>
              <w:t>1</w:t>
            </w:r>
            <w:r>
              <w:rPr>
                <w:rFonts w:hint="eastAsia"/>
              </w:rPr>
              <w:t>分</w:t>
            </w:r>
            <w:bookmarkStart w:id="169" w:name="_GoBack"/>
            <w:bookmarkEnd w:id="169"/>
            <w:r>
              <w:rPr>
                <w:rFonts w:hint="eastAsia"/>
              </w:rPr>
              <w:t>，在此基础上提供：</w:t>
            </w:r>
          </w:p>
          <w:p>
            <w:pPr>
              <w:pStyle w:val="2"/>
            </w:pPr>
            <w:r>
              <w:rPr>
                <w:rFonts w:hint="eastAsia"/>
              </w:rPr>
              <w:t>投标人或所投设备制造商提供的近三年（2019年</w:t>
            </w:r>
            <w:r>
              <w:rPr>
                <w:rFonts w:hint="eastAsia"/>
                <w:lang w:val="en-US" w:eastAsia="zh-CN"/>
              </w:rPr>
              <w:t>6</w:t>
            </w:r>
            <w:r>
              <w:rPr>
                <w:rFonts w:hint="eastAsia"/>
              </w:rPr>
              <w:t>月1日至响应文件递交截止日期，以合同签订时间为准）每增加</w:t>
            </w:r>
            <w:r>
              <w:rPr>
                <w:rFonts w:hint="eastAsia"/>
                <w:lang w:val="en-US" w:eastAsia="zh-CN"/>
              </w:rPr>
              <w:t>3</w:t>
            </w:r>
            <w:r>
              <w:rPr>
                <w:rFonts w:hint="eastAsia"/>
              </w:rPr>
              <w:t>台业绩得0.5分，满分</w:t>
            </w:r>
            <w:r>
              <w:rPr>
                <w:rFonts w:hint="eastAsia"/>
                <w:lang w:val="en-US" w:eastAsia="zh-CN"/>
              </w:rPr>
              <w:t>3</w:t>
            </w:r>
            <w:r>
              <w:rPr>
                <w:rFonts w:hint="eastAsia"/>
              </w:rPr>
              <w:t>分。</w:t>
            </w:r>
          </w:p>
          <w:p>
            <w:pPr>
              <w:pStyle w:val="2"/>
            </w:pPr>
            <w:r>
              <w:rPr>
                <w:rFonts w:hint="eastAsia"/>
              </w:rPr>
              <w:t>评审依据：投标人提供合同原件（备查），并同时在投标文件中提供复印件，不提供不得分。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企业</w:t>
            </w:r>
            <w:r>
              <w:rPr>
                <w:rFonts w:ascii="Times New Roman" w:hAnsi="Times New Roman" w:eastAsia="宋体" w:cs="Times New Roman"/>
                <w:szCs w:val="21"/>
              </w:rPr>
              <w:t>资质</w:t>
            </w:r>
          </w:p>
        </w:tc>
        <w:tc>
          <w:tcPr>
            <w:tcW w:w="567" w:type="dxa"/>
            <w:vAlign w:val="center"/>
          </w:tcPr>
          <w:p>
            <w:pPr>
              <w:spacing w:line="3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4</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1.所投品牌设备制造商企业</w:t>
            </w:r>
            <w:r>
              <w:rPr>
                <w:rFonts w:hint="eastAsia" w:ascii="Times New Roman" w:hAnsi="Times New Roman" w:eastAsia="宋体" w:cs="Times New Roman"/>
                <w:szCs w:val="21"/>
              </w:rPr>
              <w:t>获得质量管理体系认证证书的</w:t>
            </w:r>
            <w:r>
              <w:rPr>
                <w:rFonts w:ascii="Times New Roman" w:hAnsi="Times New Roman" w:eastAsia="宋体" w:cs="Times New Roman"/>
                <w:szCs w:val="21"/>
              </w:rPr>
              <w:t>得1分；2.所投品牌设备制造商企业</w:t>
            </w:r>
            <w:r>
              <w:rPr>
                <w:rFonts w:hint="eastAsia" w:ascii="Times New Roman" w:hAnsi="Times New Roman" w:eastAsia="宋体" w:cs="Times New Roman"/>
                <w:szCs w:val="21"/>
              </w:rPr>
              <w:t>获得环境管理体系认证证书</w:t>
            </w:r>
            <w:r>
              <w:rPr>
                <w:rFonts w:ascii="Times New Roman" w:hAnsi="Times New Roman" w:eastAsia="宋体" w:cs="Times New Roman"/>
                <w:szCs w:val="21"/>
              </w:rPr>
              <w:t>的得1分；3.</w:t>
            </w:r>
            <w:r>
              <w:rPr>
                <w:rFonts w:ascii="Calibri" w:hAnsi="Calibri" w:eastAsia="宋体" w:cs="Times New Roman"/>
              </w:rPr>
              <w:t>所投品牌设备制造商企业</w:t>
            </w:r>
            <w:r>
              <w:rPr>
                <w:rFonts w:hint="eastAsia" w:ascii="Calibri" w:hAnsi="Calibri" w:eastAsia="宋体" w:cs="Times New Roman"/>
              </w:rPr>
              <w:t>获得</w:t>
            </w:r>
            <w:r>
              <w:rPr>
                <w:rFonts w:hint="eastAsia" w:ascii="Times New Roman" w:hAnsi="Times New Roman" w:eastAsia="宋体" w:cs="Times New Roman"/>
                <w:szCs w:val="21"/>
              </w:rPr>
              <w:t>职业健康安全管理体系认证</w:t>
            </w:r>
          </w:p>
          <w:p>
            <w:pPr>
              <w:adjustRightInd w:val="0"/>
              <w:snapToGrid w:val="0"/>
              <w:spacing w:line="276" w:lineRule="auto"/>
              <w:rPr>
                <w:rFonts w:ascii="Times New Roman" w:hAnsi="Times New Roman" w:eastAsia="宋体" w:cs="Times New Roman"/>
                <w:szCs w:val="21"/>
              </w:rPr>
            </w:pPr>
            <w:r>
              <w:rPr>
                <w:rFonts w:hint="eastAsia" w:ascii="Times New Roman" w:hAnsi="Times New Roman" w:eastAsia="宋体" w:cs="Times New Roman"/>
                <w:szCs w:val="21"/>
              </w:rPr>
              <w:t>证书</w:t>
            </w:r>
            <w:r>
              <w:rPr>
                <w:rFonts w:ascii="Times New Roman" w:hAnsi="Times New Roman" w:eastAsia="宋体" w:cs="Times New Roman"/>
                <w:szCs w:val="21"/>
              </w:rPr>
              <w:t>的得1分；</w:t>
            </w:r>
            <w:r>
              <w:rPr>
                <w:rFonts w:hint="eastAsia" w:ascii="Times New Roman" w:hAnsi="Times New Roman" w:eastAsia="宋体" w:cs="Times New Roman"/>
                <w:szCs w:val="21"/>
              </w:rPr>
              <w:t>4. 所投品牌设备制造商企业</w:t>
            </w:r>
            <w:r>
              <w:rPr>
                <w:rFonts w:hint="eastAsia" w:ascii="Times New Roman" w:hAnsi="Times New Roman" w:eastAsia="宋体" w:cs="Times New Roman"/>
                <w:szCs w:val="21"/>
                <w:lang w:eastAsia="zh-CN"/>
              </w:rPr>
              <w:t>获得七星级售后服务体系完善程度认证证书的得</w:t>
            </w: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rPr>
              <w:t>分；以上提供证明文件复印件，原件备查。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4</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lang w:val="en-US" w:eastAsia="zh-CN"/>
              </w:rPr>
              <w:t>2.4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及培训、现场指导等技术支持方案的完备程度等因素加0—</w:t>
            </w:r>
            <w:r>
              <w:rPr>
                <w:rFonts w:hint="eastAsia" w:ascii="Times New Roman" w:hAnsi="Times New Roman" w:eastAsia="宋体" w:cs="Times New Roman"/>
                <w:szCs w:val="21"/>
              </w:rPr>
              <w:t>1</w:t>
            </w:r>
            <w:r>
              <w:rPr>
                <w:rFonts w:hint="eastAsia" w:ascii="Times New Roman" w:hAnsi="Times New Roman" w:eastAsia="宋体" w:cs="Times New Roman"/>
                <w:szCs w:val="21"/>
                <w:lang w:val="en-US" w:eastAsia="zh-CN"/>
              </w:rPr>
              <w:t>.6</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4" w:type="dxa"/>
            <w:gridSpan w:val="6"/>
            <w:vAlign w:val="center"/>
          </w:tcPr>
          <w:p>
            <w:pPr>
              <w:spacing w:line="360" w:lineRule="atLeast"/>
              <w:rPr>
                <w:rFonts w:hint="eastAsia"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2"/>
              <w:rPr>
                <w:rFonts w:ascii="Times New Roman" w:hAnsi="Times New Roman" w:eastAsia="宋体" w:cs="Times New Roman"/>
                <w:szCs w:val="21"/>
              </w:rPr>
            </w:pPr>
            <w:r>
              <w:rPr>
                <w:rFonts w:hint="eastAsia" w:ascii="Times New Roman" w:hAnsi="Times New Roman" w:eastAsia="宋体" w:cs="Times New Roman"/>
                <w:szCs w:val="21"/>
                <w:highlight w:val="green"/>
                <w:lang w:eastAsia="zh-C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200" w:firstLineChars="1000"/>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根据《中华人民共和国民法典》及相关法律法规的规定，甲乙双方在平等、自愿、公平、协商一致的基础上，就甲方委托乙方提供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甲方委托乙方提供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单价</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增值税：    万</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等达到使用条件及质保期维护维修的一切费用，以及合同约定的所有责任、义务和一般风险。乙方届时应派出现场服务人员完成车辆的上牌工作，车辆上牌时所需上牌费。</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2年   </w:t>
      </w:r>
      <w:r>
        <w:rPr>
          <w:rFonts w:ascii="Times New Roman" w:hAnsi="Times New Roman" w:cs="Times New Roman"/>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Theme="minorEastAsia" w:hAnsiTheme="minorEastAsia" w:cstheme="minorEastAsia"/>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车辆交接验收完成后10个工作日内，按合</w:t>
      </w:r>
      <w:r>
        <w:rPr>
          <w:rFonts w:hint="eastAsia" w:asciiTheme="minorEastAsia" w:hAnsiTheme="minorEastAsia" w:cstheme="minorEastAsia"/>
          <w:color w:val="333333"/>
          <w:kern w:val="0"/>
          <w:szCs w:val="21"/>
        </w:rPr>
        <w:t>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验收并调试运转合格后，并收到全额增值税发票，甲方财务部门以对公转账形式支付合同金额的95%，余下5%作为质保金。质保金期限（</w:t>
      </w:r>
      <w:r>
        <w:rPr>
          <w:rFonts w:hint="eastAsia" w:ascii="宋体" w:hAnsi="宋体" w:eastAsia="宋体" w:cs="宋体"/>
          <w:kern w:val="0"/>
          <w:szCs w:val="21"/>
          <w:lang w:val="en-US" w:eastAsia="zh-CN"/>
        </w:rPr>
        <w:t>24</w:t>
      </w:r>
      <w:r>
        <w:rPr>
          <w:rFonts w:hint="eastAsia" w:ascii="宋体" w:hAnsi="宋体" w:eastAsia="宋体" w:cs="宋体"/>
          <w:kern w:val="0"/>
          <w:szCs w:val="21"/>
        </w:rPr>
        <w:t>个月），质保期内如发生质量问题（非买方原因），乙方需及时负责返修，否则甲方有权委托其它单位维修，费用从质保金中扣除，在质保期满后（</w:t>
      </w:r>
      <w:r>
        <w:rPr>
          <w:rFonts w:hint="eastAsia" w:ascii="宋体" w:hAnsi="宋体" w:eastAsia="宋体" w:cs="宋体"/>
          <w:kern w:val="0"/>
          <w:szCs w:val="21"/>
          <w:lang w:val="en-US" w:eastAsia="zh-CN"/>
        </w:rPr>
        <w:t>24</w:t>
      </w:r>
      <w:r>
        <w:rPr>
          <w:rFonts w:hint="eastAsia" w:ascii="宋体" w:hAnsi="宋体" w:eastAsia="宋体" w:cs="宋体"/>
          <w:kern w:val="0"/>
          <w:szCs w:val="21"/>
        </w:rPr>
        <w:t>个月）甲方将剩余的保留金无息退还给乙方。</w:t>
      </w:r>
    </w:p>
    <w:p>
      <w:pPr>
        <w:pStyle w:val="6"/>
        <w:rPr>
          <w:rFonts w:asciiTheme="minorEastAsia" w:hAnsiTheme="minorEastAsia" w:cstheme="minorEastAsia"/>
          <w:szCs w:val="21"/>
        </w:rPr>
      </w:pPr>
      <w:r>
        <w:rPr>
          <w:rFonts w:hint="eastAsia" w:asciiTheme="minorEastAsia" w:hAnsiTheme="minorEastAsia" w:cstheme="minorEastAsia"/>
          <w:szCs w:val="21"/>
        </w:rPr>
        <w:t>6.2 付款账户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rPr>
          <w:rFonts w:ascii="Times New Roman" w:hAnsi="Times New Roman" w:cs="Times New Roman"/>
          <w:szCs w:val="21"/>
        </w:rPr>
      </w:pPr>
    </w:p>
    <w:p>
      <w:pPr>
        <w:pStyle w:val="3"/>
        <w:numPr>
          <w:ilvl w:val="0"/>
          <w:numId w:val="3"/>
        </w:numPr>
        <w:spacing w:before="312" w:after="312"/>
        <w:rPr>
          <w:rFonts w:ascii="Times New Roman" w:hAnsi="Times New Roman" w:eastAsia="宋体" w:cs="Times New Roman"/>
        </w:rPr>
      </w:pPr>
      <w:r>
        <w:rPr>
          <w:rFonts w:ascii="Times New Roman" w:hAnsi="Times New Roman" w:eastAsia="宋体" w:cs="Times New Roman"/>
        </w:rPr>
        <w:t>采购需求及清单</w:t>
      </w:r>
    </w:p>
    <w:tbl>
      <w:tblPr>
        <w:tblStyle w:val="13"/>
        <w:tblW w:w="951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899" w:type="dxa"/>
            <w:tcBorders>
              <w:top w:val="double" w:color="auto" w:sz="4" w:space="0"/>
              <w:left w:val="double" w:color="auto" w:sz="4" w:space="0"/>
              <w:bottom w:val="single" w:color="auto" w:sz="4" w:space="0"/>
              <w:right w:val="single" w:color="auto" w:sz="4" w:space="0"/>
            </w:tcBorders>
            <w:vAlign w:val="center"/>
          </w:tcPr>
          <w:p>
            <w:pPr>
              <w:adjustRightInd w:val="0"/>
              <w:snapToGrid w:val="0"/>
              <w:ind w:firstLine="210" w:firstLineChars="100"/>
              <w:jc w:val="both"/>
              <w:rPr>
                <w:rFonts w:ascii="宋体" w:hAnsi="宋体"/>
                <w:szCs w:val="21"/>
                <w:highlight w:val="none"/>
              </w:rPr>
            </w:pPr>
            <w:r>
              <w:rPr>
                <w:rFonts w:hint="eastAsia" w:ascii="宋体" w:hAnsi="宋体"/>
                <w:szCs w:val="21"/>
                <w:highlight w:val="none"/>
              </w:rPr>
              <w:t>一</w:t>
            </w:r>
          </w:p>
        </w:tc>
        <w:tc>
          <w:tcPr>
            <w:tcW w:w="8620" w:type="dxa"/>
            <w:tcBorders>
              <w:top w:val="double" w:color="auto" w:sz="4" w:space="0"/>
              <w:left w:val="single" w:color="auto" w:sz="4" w:space="0"/>
              <w:bottom w:val="single" w:color="auto" w:sz="4" w:space="0"/>
              <w:right w:val="double" w:color="auto" w:sz="4" w:space="0"/>
            </w:tcBorders>
            <w:vAlign w:val="center"/>
          </w:tcPr>
          <w:p>
            <w:pPr>
              <w:adjustRightInd w:val="0"/>
              <w:snapToGrid w:val="0"/>
              <w:jc w:val="both"/>
              <w:rPr>
                <w:rFonts w:hint="default" w:ascii="宋体" w:hAnsi="宋体" w:eastAsia="宋体"/>
                <w:b/>
                <w:bCs/>
                <w:szCs w:val="21"/>
                <w:highlight w:val="none"/>
                <w:lang w:val="en-US" w:eastAsia="zh-CN"/>
              </w:rPr>
            </w:pPr>
            <w:r>
              <w:rPr>
                <w:rFonts w:hint="eastAsia" w:ascii="宋体" w:hAnsi="宋体"/>
                <w:b/>
                <w:bCs/>
                <w:szCs w:val="21"/>
                <w:highlight w:val="none"/>
              </w:rPr>
              <w:t>多功能除雪车</w:t>
            </w:r>
            <w:r>
              <w:rPr>
                <w:rFonts w:hint="eastAsia"/>
                <w:b/>
                <w:bCs/>
                <w:szCs w:val="21"/>
                <w:highlight w:val="none"/>
                <w:lang w:val="en-US" w:eastAsia="zh-CN"/>
              </w:rPr>
              <w:t>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r>
              <w:rPr>
                <w:rFonts w:hint="eastAsia" w:ascii="宋体" w:hAnsi="宋体"/>
                <w:szCs w:val="21"/>
                <w:highlight w:val="none"/>
              </w:rPr>
              <w:t>1</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both"/>
              <w:rPr>
                <w:rFonts w:ascii="宋体" w:hAnsi="宋体"/>
                <w:szCs w:val="21"/>
                <w:highlight w:val="none"/>
              </w:rPr>
            </w:pPr>
            <w:r>
              <w:rPr>
                <w:rFonts w:hint="eastAsia" w:ascii="宋体" w:hAnsi="宋体"/>
                <w:szCs w:val="21"/>
                <w:highlight w:val="none"/>
              </w:rPr>
              <w:t>用途: 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r>
              <w:rPr>
                <w:rFonts w:hint="eastAsia" w:ascii="宋体" w:hAnsi="宋体"/>
                <w:szCs w:val="21"/>
                <w:highlight w:val="none"/>
              </w:rPr>
              <w:t>2</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both"/>
              <w:rPr>
                <w:rFonts w:hint="eastAsia" w:ascii="宋体" w:hAnsi="宋体" w:eastAsia="宋体"/>
                <w:szCs w:val="21"/>
                <w:highlight w:val="none"/>
                <w:lang w:val="en-US" w:eastAsia="zh-CN"/>
              </w:rPr>
            </w:pPr>
            <w:r>
              <w:rPr>
                <w:rFonts w:hint="eastAsia" w:ascii="宋体" w:hAnsi="宋体"/>
                <w:szCs w:val="21"/>
                <w:highlight w:val="none"/>
              </w:rPr>
              <w:t>数量：</w:t>
            </w:r>
            <w:r>
              <w:rPr>
                <w:rFonts w:hint="eastAsia"/>
                <w:szCs w:val="21"/>
                <w:highlight w:val="none"/>
                <w:lang w:val="en-US" w:eastAsia="zh-CN"/>
              </w:rPr>
              <w:t>2台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r>
              <w:rPr>
                <w:rFonts w:hint="eastAsia" w:ascii="宋体" w:hAnsi="宋体"/>
                <w:szCs w:val="21"/>
                <w:highlight w:val="none"/>
              </w:rPr>
              <w:t>3</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both"/>
              <w:rPr>
                <w:rFonts w:ascii="宋体" w:hAnsi="宋体"/>
                <w:szCs w:val="21"/>
                <w:highlight w:val="none"/>
              </w:rPr>
            </w:pPr>
            <w:r>
              <w:rPr>
                <w:rFonts w:hint="eastAsia" w:ascii="宋体" w:hAnsi="宋体"/>
                <w:szCs w:val="21"/>
                <w:highlight w:val="none"/>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spacing w:line="360" w:lineRule="auto"/>
              <w:ind w:left="0" w:leftChars="0" w:right="0" w:rightChars="0"/>
              <w:jc w:val="both"/>
              <w:rPr>
                <w:rFonts w:ascii="宋体" w:hAnsi="宋体"/>
                <w:szCs w:val="21"/>
                <w:highlight w:val="none"/>
              </w:rPr>
            </w:pPr>
            <w:r>
              <w:rPr>
                <w:rFonts w:hint="eastAsia" w:ascii="宋体" w:hAnsi="宋体"/>
                <w:szCs w:val="21"/>
                <w:highlight w:val="none"/>
              </w:rPr>
              <w:t>整车（含雪铲系统、融雪剂撒布系统）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spacing w:line="360" w:lineRule="auto"/>
              <w:ind w:left="0" w:leftChars="0" w:right="0" w:rightChars="0"/>
              <w:jc w:val="both"/>
              <w:rPr>
                <w:rFonts w:ascii="宋体" w:hAnsi="宋体"/>
                <w:szCs w:val="21"/>
                <w:highlight w:val="none"/>
              </w:rPr>
            </w:pPr>
            <w:r>
              <w:rPr>
                <w:rFonts w:hint="eastAsia" w:ascii="宋体" w:hAnsi="宋体"/>
                <w:szCs w:val="21"/>
                <w:highlight w:val="none"/>
              </w:rPr>
              <w:t>特种工具配置费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spacing w:line="360" w:lineRule="auto"/>
              <w:ind w:left="0" w:leftChars="0" w:right="0" w:rightChars="0"/>
              <w:jc w:val="both"/>
              <w:rPr>
                <w:rFonts w:ascii="宋体" w:hAnsi="宋体"/>
                <w:szCs w:val="21"/>
                <w:highlight w:val="none"/>
              </w:rPr>
            </w:pPr>
            <w:r>
              <w:rPr>
                <w:rFonts w:hint="eastAsia" w:ascii="宋体" w:hAnsi="宋体"/>
                <w:sz w:val="18"/>
                <w:szCs w:val="18"/>
                <w:highlight w:val="none"/>
              </w:rPr>
              <w:t>运转2000小时备品备件及</w:t>
            </w:r>
            <w:r>
              <w:rPr>
                <w:rFonts w:ascii="宋体" w:hAnsi="宋体"/>
                <w:sz w:val="18"/>
                <w:szCs w:val="18"/>
                <w:highlight w:val="none"/>
              </w:rPr>
              <w:t>专用工具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spacing w:line="360" w:lineRule="auto"/>
              <w:ind w:left="0" w:leftChars="0" w:right="0" w:rightChars="0"/>
              <w:jc w:val="both"/>
              <w:rPr>
                <w:rFonts w:hint="eastAsia" w:ascii="宋体" w:hAnsi="宋体"/>
                <w:szCs w:val="21"/>
                <w:highlight w:val="none"/>
              </w:rPr>
            </w:pPr>
            <w:r>
              <w:rPr>
                <w:rFonts w:hint="eastAsia" w:ascii="宋体" w:hAnsi="宋体"/>
                <w:szCs w:val="21"/>
                <w:highlight w:val="none"/>
              </w:rPr>
              <w:t>运输和保险仓储等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eastAsia="宋体"/>
                <w:szCs w:val="21"/>
                <w:highlight w:val="none"/>
                <w:lang w:val="en-US" w:eastAsia="zh-CN"/>
              </w:rPr>
            </w:pPr>
            <w:r>
              <w:rPr>
                <w:rFonts w:hint="eastAsia" w:ascii="宋体" w:hAnsi="宋体"/>
                <w:szCs w:val="21"/>
                <w:highlight w:val="none"/>
              </w:rPr>
              <w:t>商业保险及上牌费（含交强险、车损险（≥车价）、第三者责任险(100万元)、自燃险、人员险2万元/人×座位数、不计免赔特约、玻璃破碎险。上牌时,须按需方指定地点和方式执行,选择的牌号也须经需方认可。需方配合提供公司组织机构代码证及在相关表格加盖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szCs w:val="21"/>
                <w:highlight w:val="none"/>
              </w:rPr>
            </w:pPr>
            <w:r>
              <w:rPr>
                <w:rFonts w:hint="eastAsia" w:ascii="宋体" w:hAnsi="宋体"/>
                <w:szCs w:val="21"/>
                <w:highlight w:val="none"/>
              </w:rPr>
              <w:t>相关技术服务及验收杂费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ascii="宋体" w:hAnsi="宋体"/>
                <w:szCs w:val="21"/>
                <w:highlight w:val="none"/>
              </w:rPr>
            </w:pPr>
            <w:r>
              <w:rPr>
                <w:rFonts w:hint="eastAsia" w:ascii="宋体" w:hAnsi="宋体"/>
                <w:szCs w:val="21"/>
                <w:highlight w:val="none"/>
              </w:rPr>
              <w:t>4.</w:t>
            </w: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ascii="宋体" w:hAnsi="宋体"/>
                <w:szCs w:val="21"/>
                <w:highlight w:val="none"/>
              </w:rPr>
            </w:pPr>
            <w:r>
              <w:rPr>
                <w:rFonts w:ascii="宋体" w:hAnsi="宋体"/>
                <w:szCs w:val="21"/>
                <w:highlight w:val="none"/>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ascii="宋体" w:hAnsi="宋体"/>
                <w:szCs w:val="21"/>
                <w:highlight w:val="none"/>
              </w:rPr>
            </w:pPr>
            <w:r>
              <w:rPr>
                <w:rFonts w:hint="eastAsia" w:ascii="宋体" w:hAnsi="宋体"/>
                <w:szCs w:val="21"/>
                <w:highlight w:val="none"/>
              </w:rPr>
              <w:t>4.1</w:t>
            </w: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ascii="宋体" w:hAnsi="宋体"/>
                <w:szCs w:val="21"/>
                <w:highlight w:val="none"/>
              </w:rPr>
            </w:pPr>
            <w:r>
              <w:rPr>
                <w:rFonts w:ascii="宋体" w:hAnsi="宋体"/>
                <w:szCs w:val="21"/>
                <w:highlight w:val="none"/>
              </w:rPr>
              <w:t>工作条件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ascii="宋体" w:hAnsi="宋体"/>
                <w:szCs w:val="21"/>
                <w:highlight w:val="none"/>
              </w:rPr>
            </w:pPr>
            <w:r>
              <w:rPr>
                <w:rFonts w:ascii="宋体" w:hAnsi="宋体"/>
                <w:szCs w:val="21"/>
                <w:highlight w:val="none"/>
              </w:rPr>
              <w:t>工作场所：室外、露天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ascii="宋体" w:hAnsi="宋体"/>
                <w:szCs w:val="21"/>
                <w:highlight w:val="none"/>
              </w:rPr>
            </w:pPr>
            <w:r>
              <w:rPr>
                <w:rFonts w:ascii="宋体" w:hAnsi="宋体"/>
                <w:szCs w:val="21"/>
                <w:highlight w:val="none"/>
              </w:rPr>
              <w:t>环境温度：摄氏-15</w:t>
            </w:r>
            <w:r>
              <w:rPr>
                <w:rFonts w:hint="eastAsia" w:ascii="宋体" w:hAnsi="宋体"/>
                <w:szCs w:val="21"/>
                <w:highlight w:val="none"/>
              </w:rPr>
              <w:t>℃</w:t>
            </w:r>
            <w:r>
              <w:rPr>
                <w:rFonts w:ascii="宋体" w:hAnsi="宋体"/>
                <w:szCs w:val="21"/>
                <w:highlight w:val="none"/>
              </w:rPr>
              <w:t>～45</w:t>
            </w:r>
            <w:r>
              <w:rPr>
                <w:rFonts w:hint="eastAsia" w:ascii="宋体" w:hAnsi="宋体"/>
                <w:szCs w:val="21"/>
                <w:highlight w:val="none"/>
              </w:rPr>
              <w:t>℃</w:t>
            </w:r>
            <w:r>
              <w:rPr>
                <w:rFonts w:ascii="宋体" w:hAnsi="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tcBorders>
              <w:top w:val="single" w:color="auto" w:sz="4" w:space="0"/>
              <w:left w:val="double" w:color="auto" w:sz="4" w:space="0"/>
              <w:bottom w:val="single" w:color="auto" w:sz="4" w:space="0"/>
              <w:right w:val="single" w:color="auto" w:sz="4" w:space="0"/>
            </w:tcBorders>
            <w:vAlign w:val="center"/>
          </w:tcPr>
          <w:p>
            <w:pPr>
              <w:widowControl/>
              <w:ind w:left="0" w:leftChars="0" w:right="0" w:rightChars="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ascii="宋体" w:hAnsi="宋体"/>
                <w:szCs w:val="21"/>
                <w:highlight w:val="none"/>
              </w:rPr>
            </w:pPr>
            <w:r>
              <w:rPr>
                <w:rFonts w:ascii="宋体" w:hAnsi="宋体"/>
                <w:szCs w:val="21"/>
                <w:highlight w:val="none"/>
              </w:rPr>
              <w:t>现场环境：潮湿，充满灰尘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widowControl/>
              <w:ind w:left="0" w:leftChars="0" w:right="0" w:rightChars="0"/>
              <w:jc w:val="center"/>
              <w:rPr>
                <w:rFonts w:ascii="宋体" w:hAnsi="宋体"/>
                <w:szCs w:val="21"/>
                <w:highlight w:val="none"/>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eastAsia="宋体"/>
                <w:szCs w:val="21"/>
                <w:highlight w:val="none"/>
                <w:lang w:eastAsia="zh-CN"/>
              </w:rPr>
            </w:pPr>
            <w:r>
              <w:rPr>
                <w:rFonts w:ascii="宋体" w:hAnsi="宋体"/>
                <w:szCs w:val="21"/>
                <w:highlight w:val="none"/>
              </w:rPr>
              <w:t>工作等级：满负荷每天能经受10小时连续工作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9" w:type="dxa"/>
            <w:tcBorders>
              <w:top w:val="single" w:color="auto" w:sz="4" w:space="0"/>
              <w:left w:val="double" w:color="auto" w:sz="4" w:space="0"/>
              <w:bottom w:val="single" w:color="auto" w:sz="4" w:space="0"/>
              <w:right w:val="single" w:color="auto" w:sz="4" w:space="0"/>
            </w:tcBorders>
            <w:vAlign w:val="center"/>
          </w:tcPr>
          <w:p>
            <w:pPr>
              <w:widowControl/>
              <w:ind w:left="0" w:leftChars="0" w:right="0" w:rightChars="0"/>
              <w:jc w:val="center"/>
              <w:rPr>
                <w:rFonts w:ascii="宋体" w:hAnsi="宋体"/>
                <w:szCs w:val="21"/>
                <w:highlight w:val="none"/>
              </w:rPr>
            </w:pPr>
            <w:r>
              <w:rPr>
                <w:rFonts w:hint="eastAsia" w:ascii="宋体" w:hAnsi="宋体"/>
                <w:szCs w:val="21"/>
                <w:highlight w:val="none"/>
              </w:rPr>
              <w:t>4.2</w:t>
            </w: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除雪车</w:t>
            </w:r>
            <w:r>
              <w:rPr>
                <w:rFonts w:ascii="宋体" w:hAnsi="宋体"/>
                <w:szCs w:val="21"/>
                <w:highlight w:val="none"/>
              </w:rPr>
              <w:t>性能</w:t>
            </w:r>
            <w:r>
              <w:rPr>
                <w:rFonts w:hint="eastAsia" w:ascii="宋体" w:hAnsi="宋体"/>
                <w:szCs w:val="21"/>
                <w:highlight w:val="none"/>
              </w:rPr>
              <w:t>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ascii="宋体" w:hAnsi="宋体"/>
                <w:szCs w:val="21"/>
                <w:highlight w:val="none"/>
              </w:rPr>
            </w:pPr>
            <w:r>
              <w:rPr>
                <w:rFonts w:hint="eastAsia" w:ascii="宋体" w:hAnsi="宋体"/>
                <w:szCs w:val="21"/>
                <w:highlight w:val="none"/>
              </w:rPr>
              <w:t>4.2.1</w:t>
            </w: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ascii="宋体" w:hAnsi="宋体"/>
                <w:szCs w:val="21"/>
                <w:highlight w:val="none"/>
              </w:rPr>
            </w:pPr>
            <w:r>
              <w:rPr>
                <w:rFonts w:hint="eastAsia" w:ascii="宋体" w:hAnsi="宋体"/>
                <w:szCs w:val="21"/>
                <w:highlight w:val="none"/>
              </w:rPr>
              <w:t>用于高速公路道桥面冬季除雪作业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w:t>
            </w:r>
            <w:r>
              <w:rPr>
                <w:rFonts w:hint="eastAsia"/>
                <w:szCs w:val="21"/>
                <w:highlight w:val="none"/>
                <w:lang w:val="en-US" w:eastAsia="zh-CN"/>
              </w:rPr>
              <w:t>2</w:t>
            </w: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ascii="宋体" w:hAnsi="宋体"/>
                <w:szCs w:val="21"/>
                <w:highlight w:val="none"/>
              </w:rPr>
            </w:pPr>
            <w:r>
              <w:rPr>
                <w:rFonts w:hint="eastAsia" w:ascii="宋体" w:hAnsi="宋体"/>
                <w:szCs w:val="21"/>
                <w:highlight w:val="none"/>
              </w:rPr>
              <w:t>整车须具有</w:t>
            </w:r>
            <w:r>
              <w:rPr>
                <w:rFonts w:ascii="宋体" w:hAnsi="宋体"/>
                <w:szCs w:val="21"/>
                <w:highlight w:val="none"/>
              </w:rPr>
              <w:t>3C</w:t>
            </w:r>
            <w:r>
              <w:rPr>
                <w:rFonts w:hint="eastAsia" w:ascii="宋体" w:hAnsi="宋体"/>
                <w:szCs w:val="21"/>
                <w:highlight w:val="none"/>
              </w:rPr>
              <w:t>认证和环保公告并包含在国家税务总局免征车辆购置附加税图册内（投标文件中须提供</w:t>
            </w:r>
            <w:r>
              <w:rPr>
                <w:rFonts w:ascii="宋体" w:hAnsi="宋体"/>
                <w:szCs w:val="21"/>
                <w:highlight w:val="none"/>
              </w:rPr>
              <w:t>3C</w:t>
            </w:r>
            <w:r>
              <w:rPr>
                <w:rFonts w:hint="eastAsia" w:ascii="宋体" w:hAnsi="宋体"/>
                <w:szCs w:val="21"/>
                <w:highlight w:val="none"/>
              </w:rPr>
              <w:t>认证证书复印件，以及环保公告复印件和免税图册所在页码。</w:t>
            </w:r>
            <w:r>
              <w:rPr>
                <w:rFonts w:hint="eastAsia" w:ascii="宋体" w:hAnsi="宋体" w:cs="宋体"/>
                <w:b/>
                <w:kern w:val="0"/>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w:t>
            </w:r>
            <w:r>
              <w:rPr>
                <w:rFonts w:hint="eastAsia"/>
                <w:szCs w:val="21"/>
                <w:highlight w:val="none"/>
                <w:lang w:val="en-US" w:eastAsia="zh-CN"/>
              </w:rPr>
              <w:t>3</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szCs w:val="21"/>
                <w:highlight w:val="none"/>
              </w:rPr>
              <w:t>整车上装形式：前置推雪铲、后置融雪剂撒布系统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w:t>
            </w:r>
            <w:r>
              <w:rPr>
                <w:rFonts w:hint="eastAsia"/>
                <w:szCs w:val="21"/>
                <w:highlight w:val="none"/>
                <w:lang w:val="en-US" w:eastAsia="zh-CN"/>
              </w:rPr>
              <w:t>4</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b/>
                <w:szCs w:val="21"/>
                <w:highlight w:val="none"/>
              </w:rPr>
              <w:t>*6</w:t>
            </w:r>
            <w:r>
              <w:rPr>
                <w:rFonts w:ascii="宋体" w:hAnsi="宋体"/>
                <w:b/>
                <w:szCs w:val="21"/>
                <w:highlight w:val="none"/>
              </w:rPr>
              <w:t>×</w:t>
            </w:r>
            <w:r>
              <w:rPr>
                <w:rFonts w:hint="eastAsia" w:ascii="宋体" w:hAnsi="宋体"/>
                <w:b/>
                <w:szCs w:val="21"/>
                <w:highlight w:val="none"/>
              </w:rPr>
              <w:t>4底盘总质量：≥24000kg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w:t>
            </w:r>
            <w:r>
              <w:rPr>
                <w:rFonts w:hint="eastAsia"/>
                <w:szCs w:val="21"/>
                <w:highlight w:val="none"/>
                <w:lang w:val="en-US" w:eastAsia="zh-CN"/>
              </w:rPr>
              <w:t>5</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b/>
                <w:szCs w:val="21"/>
                <w:highlight w:val="none"/>
              </w:rPr>
              <w:t>*柴油发动机功率：≥</w:t>
            </w:r>
            <w:r>
              <w:rPr>
                <w:rFonts w:ascii="宋体" w:hAnsi="宋体"/>
                <w:b/>
                <w:szCs w:val="21"/>
                <w:highlight w:val="none"/>
              </w:rPr>
              <w:t>24</w:t>
            </w:r>
            <w:r>
              <w:rPr>
                <w:rFonts w:hint="eastAsia" w:ascii="宋体" w:hAnsi="宋体"/>
                <w:b/>
                <w:szCs w:val="21"/>
                <w:highlight w:val="none"/>
              </w:rPr>
              <w:t>0</w:t>
            </w:r>
            <w:r>
              <w:rPr>
                <w:rFonts w:ascii="宋体" w:hAnsi="宋体"/>
                <w:b/>
                <w:szCs w:val="21"/>
                <w:highlight w:val="none"/>
              </w:rPr>
              <w:t>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w:t>
            </w:r>
            <w:r>
              <w:rPr>
                <w:rFonts w:hint="eastAsia"/>
                <w:szCs w:val="21"/>
                <w:highlight w:val="none"/>
                <w:lang w:val="en-US" w:eastAsia="zh-CN"/>
              </w:rPr>
              <w:t>6</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szCs w:val="21"/>
                <w:highlight w:val="none"/>
              </w:rPr>
              <w:t>排放国Ⅴ或更优（</w:t>
            </w:r>
            <w:r>
              <w:rPr>
                <w:rFonts w:ascii="宋体" w:hAnsi="宋体"/>
                <w:szCs w:val="21"/>
                <w:highlight w:val="none"/>
              </w:rPr>
              <w:t>GB17691-2005</w:t>
            </w:r>
            <w:r>
              <w:rPr>
                <w:rFonts w:hint="eastAsia" w:ascii="宋体" w:hAnsi="宋体"/>
                <w:szCs w:val="21"/>
                <w:highlight w:val="none"/>
              </w:rPr>
              <w:t>标准、</w:t>
            </w:r>
            <w:r>
              <w:rPr>
                <w:rFonts w:ascii="宋体" w:hAnsi="宋体"/>
                <w:szCs w:val="21"/>
                <w:highlight w:val="none"/>
              </w:rPr>
              <w:t>GB3847-2005</w:t>
            </w:r>
            <w:r>
              <w:rPr>
                <w:rFonts w:hint="eastAsia" w:ascii="宋体" w:hAnsi="宋体"/>
                <w:szCs w:val="21"/>
                <w:highlight w:val="none"/>
              </w:rPr>
              <w:t>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w:t>
            </w:r>
            <w:r>
              <w:rPr>
                <w:rFonts w:hint="eastAsia"/>
                <w:szCs w:val="21"/>
                <w:highlight w:val="none"/>
                <w:lang w:val="en-US" w:eastAsia="zh-CN"/>
              </w:rPr>
              <w:t>7</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szCs w:val="21"/>
                <w:highlight w:val="none"/>
              </w:rPr>
              <w:t>轴距：</w:t>
            </w:r>
            <w:r>
              <w:rPr>
                <w:rFonts w:ascii="宋体" w:hAnsi="宋体"/>
                <w:szCs w:val="21"/>
                <w:highlight w:val="none"/>
              </w:rPr>
              <w:t xml:space="preserve"> 4125+1350mm</w:t>
            </w:r>
            <w:r>
              <w:rPr>
                <w:rFonts w:hint="eastAsia" w:ascii="宋体" w:hAnsi="宋体"/>
                <w:szCs w:val="21"/>
                <w:highlight w:val="none"/>
              </w:rPr>
              <w:t>±300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w:t>
            </w:r>
            <w:r>
              <w:rPr>
                <w:rFonts w:hint="eastAsia"/>
                <w:szCs w:val="21"/>
                <w:highlight w:val="none"/>
                <w:lang w:val="en-US" w:eastAsia="zh-CN"/>
              </w:rPr>
              <w:t>8</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szCs w:val="21"/>
                <w:highlight w:val="none"/>
              </w:rPr>
              <w:t>变速箱：≥9档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w:t>
            </w:r>
            <w:r>
              <w:rPr>
                <w:rFonts w:hint="eastAsia"/>
                <w:szCs w:val="21"/>
                <w:highlight w:val="none"/>
                <w:lang w:val="en-US" w:eastAsia="zh-CN"/>
              </w:rPr>
              <w:t>9</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轮胎：雪地</w:t>
            </w:r>
            <w:r>
              <w:rPr>
                <w:rFonts w:ascii="宋体" w:hAnsi="宋体"/>
                <w:szCs w:val="21"/>
                <w:highlight w:val="none"/>
              </w:rPr>
              <w:t>防滑</w:t>
            </w:r>
            <w:r>
              <w:rPr>
                <w:rFonts w:hint="eastAsia" w:ascii="宋体" w:hAnsi="宋体"/>
                <w:szCs w:val="21"/>
                <w:highlight w:val="none"/>
              </w:rPr>
              <w:t>钢丝</w:t>
            </w:r>
            <w:r>
              <w:rPr>
                <w:rFonts w:ascii="宋体" w:hAnsi="宋体"/>
                <w:szCs w:val="21"/>
                <w:highlight w:val="none"/>
              </w:rPr>
              <w:t>轮胎</w:t>
            </w:r>
            <w:r>
              <w:rPr>
                <w:rFonts w:hint="eastAsia" w:ascii="宋体" w:hAnsi="宋体"/>
                <w:szCs w:val="21"/>
                <w:highlight w:val="none"/>
              </w:rPr>
              <w:t>或全钢丝子午线</w:t>
            </w:r>
            <w:r>
              <w:rPr>
                <w:rFonts w:ascii="宋体" w:hAnsi="宋体"/>
                <w:szCs w:val="21"/>
                <w:highlight w:val="none"/>
              </w:rPr>
              <w:t>1</w:t>
            </w:r>
            <w:r>
              <w:rPr>
                <w:rFonts w:hint="eastAsia" w:ascii="宋体" w:hAnsi="宋体"/>
                <w:szCs w:val="21"/>
                <w:highlight w:val="none"/>
              </w:rPr>
              <w:t>1</w:t>
            </w:r>
            <w:r>
              <w:rPr>
                <w:rFonts w:ascii="宋体" w:hAnsi="宋体"/>
                <w:szCs w:val="21"/>
                <w:highlight w:val="none"/>
              </w:rPr>
              <w:t>.00R20</w:t>
            </w:r>
            <w:r>
              <w:rPr>
                <w:rFonts w:hint="eastAsia" w:ascii="宋体" w:hAnsi="宋体"/>
                <w:szCs w:val="21"/>
                <w:highlight w:val="none"/>
              </w:rPr>
              <w:t>或更优，配有备用胎（参考品牌：玲珑、朝阳、三角或更优）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4.2.1</w:t>
            </w:r>
            <w:r>
              <w:rPr>
                <w:rFonts w:hint="eastAsia"/>
                <w:szCs w:val="21"/>
                <w:highlight w:val="none"/>
                <w:lang w:val="en-US" w:eastAsia="zh-CN"/>
              </w:rPr>
              <w:t>0</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整车外形尺寸（增加雪板后，长×宽×高</w:t>
            </w:r>
            <w:r>
              <w:rPr>
                <w:rFonts w:ascii="宋体" w:hAnsi="宋体"/>
                <w:szCs w:val="21"/>
                <w:highlight w:val="none"/>
              </w:rPr>
              <w:t>mm</w:t>
            </w:r>
            <w:r>
              <w:rPr>
                <w:rFonts w:hint="eastAsia" w:ascii="宋体" w:hAnsi="宋体"/>
                <w:szCs w:val="21"/>
                <w:highlight w:val="none"/>
              </w:rPr>
              <w:t>）：</w:t>
            </w:r>
            <w:r>
              <w:rPr>
                <w:rFonts w:ascii="宋体" w:hAnsi="宋体"/>
                <w:szCs w:val="21"/>
                <w:highlight w:val="none"/>
              </w:rPr>
              <w:t xml:space="preserve"> 115</w:t>
            </w:r>
            <w:r>
              <w:rPr>
                <w:rFonts w:hint="eastAsia" w:ascii="宋体" w:hAnsi="宋体"/>
                <w:szCs w:val="21"/>
                <w:highlight w:val="none"/>
              </w:rPr>
              <w:t>00±×2500±×</w:t>
            </w:r>
            <w:r>
              <w:rPr>
                <w:rFonts w:ascii="宋体" w:hAnsi="宋体"/>
                <w:szCs w:val="21"/>
                <w:highlight w:val="none"/>
              </w:rPr>
              <w:t>3450</w:t>
            </w:r>
            <w:r>
              <w:rPr>
                <w:rFonts w:hint="eastAsia" w:ascii="宋体" w:hAnsi="宋体"/>
                <w:szCs w:val="21"/>
                <w:highlight w:val="none"/>
              </w:rPr>
              <w:t>±300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4.2.1</w:t>
            </w:r>
            <w:r>
              <w:rPr>
                <w:rFonts w:hint="eastAsia"/>
                <w:szCs w:val="21"/>
                <w:highlight w:val="none"/>
                <w:lang w:val="en-US" w:eastAsia="zh-CN"/>
              </w:rPr>
              <w:t>1</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货箱尺寸（长×宽×高</w:t>
            </w:r>
            <w:r>
              <w:rPr>
                <w:rFonts w:ascii="宋体" w:hAnsi="宋体"/>
                <w:szCs w:val="21"/>
                <w:highlight w:val="none"/>
              </w:rPr>
              <w:t>mm</w:t>
            </w:r>
            <w:r>
              <w:rPr>
                <w:rFonts w:hint="eastAsia" w:ascii="宋体" w:hAnsi="宋体"/>
                <w:szCs w:val="21"/>
                <w:highlight w:val="none"/>
              </w:rPr>
              <w:t>）：</w:t>
            </w:r>
            <w:r>
              <w:rPr>
                <w:rFonts w:ascii="宋体" w:hAnsi="宋体"/>
                <w:szCs w:val="21"/>
                <w:highlight w:val="none"/>
              </w:rPr>
              <w:t xml:space="preserve"> 5600</w:t>
            </w:r>
            <w:r>
              <w:rPr>
                <w:rFonts w:hint="eastAsia" w:ascii="宋体" w:hAnsi="宋体"/>
                <w:szCs w:val="21"/>
                <w:highlight w:val="none"/>
              </w:rPr>
              <w:t>±×</w:t>
            </w:r>
            <w:r>
              <w:rPr>
                <w:rFonts w:ascii="宋体" w:hAnsi="宋体"/>
                <w:szCs w:val="21"/>
                <w:highlight w:val="none"/>
              </w:rPr>
              <w:t>2300</w:t>
            </w:r>
            <w:r>
              <w:rPr>
                <w:rFonts w:hint="eastAsia" w:ascii="宋体" w:hAnsi="宋体"/>
                <w:szCs w:val="21"/>
                <w:highlight w:val="none"/>
              </w:rPr>
              <w:t>±×</w:t>
            </w:r>
            <w:r>
              <w:rPr>
                <w:rFonts w:ascii="宋体" w:hAnsi="宋体"/>
                <w:szCs w:val="21"/>
                <w:highlight w:val="none"/>
              </w:rPr>
              <w:t>1500</w:t>
            </w:r>
            <w:r>
              <w:rPr>
                <w:rFonts w:hint="eastAsia" w:ascii="宋体" w:hAnsi="宋体"/>
                <w:szCs w:val="21"/>
                <w:highlight w:val="none"/>
              </w:rPr>
              <w:t>±300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4.2.1</w:t>
            </w:r>
            <w:r>
              <w:rPr>
                <w:rFonts w:hint="eastAsia"/>
                <w:szCs w:val="21"/>
                <w:highlight w:val="none"/>
                <w:lang w:val="en-US" w:eastAsia="zh-CN"/>
              </w:rPr>
              <w:t>2</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车载液压系统，全功率取力器直接通过发动机取力</w:t>
            </w:r>
            <w:r>
              <w:rPr>
                <w:rFonts w:hint="eastAsia" w:ascii="宋体" w:hAnsi="宋体" w:cs="宋体-18030"/>
                <w:szCs w:val="21"/>
                <w:highlight w:val="none"/>
              </w:rPr>
              <w:t>（须在投标文件中提供图片）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4.2.1</w:t>
            </w:r>
            <w:r>
              <w:rPr>
                <w:rFonts w:hint="eastAsia"/>
                <w:szCs w:val="21"/>
                <w:highlight w:val="none"/>
                <w:lang w:val="en-US" w:eastAsia="zh-CN"/>
              </w:rPr>
              <w:t>3</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szCs w:val="21"/>
                <w:highlight w:val="none"/>
              </w:rPr>
              <w:t>推雪板</w:t>
            </w:r>
            <w:r>
              <w:rPr>
                <w:rFonts w:hint="eastAsia" w:ascii="宋体" w:hAnsi="宋体" w:cs="宋体-18030"/>
                <w:szCs w:val="21"/>
                <w:highlight w:val="none"/>
              </w:rPr>
              <w:t>采用</w:t>
            </w:r>
            <w:r>
              <w:rPr>
                <w:rFonts w:hint="eastAsia" w:ascii="宋体" w:hAnsi="宋体"/>
                <w:szCs w:val="21"/>
                <w:highlight w:val="none"/>
              </w:rPr>
              <w:t>高强度低合金钢</w:t>
            </w:r>
            <w:r>
              <w:rPr>
                <w:rFonts w:hint="eastAsia" w:ascii="宋体" w:hAnsi="宋体" w:cs="宋体-18030"/>
                <w:szCs w:val="21"/>
                <w:highlight w:val="none"/>
              </w:rPr>
              <w:t>，具有</w:t>
            </w:r>
            <w:r>
              <w:rPr>
                <w:rFonts w:hint="eastAsia" w:ascii="宋体" w:hAnsi="宋体"/>
                <w:szCs w:val="21"/>
                <w:highlight w:val="none"/>
              </w:rPr>
              <w:t>快速连接系统可以和其它前置除雪设备</w:t>
            </w:r>
            <w:r>
              <w:rPr>
                <w:rFonts w:hint="eastAsia" w:ascii="宋体" w:hAnsi="宋体" w:cs="宋体-18030"/>
                <w:szCs w:val="21"/>
                <w:highlight w:val="none"/>
              </w:rPr>
              <w:t>（如扫雪滚刷）</w:t>
            </w:r>
            <w:r>
              <w:rPr>
                <w:rFonts w:hint="eastAsia" w:ascii="宋体" w:hAnsi="宋体"/>
                <w:szCs w:val="21"/>
                <w:highlight w:val="none"/>
              </w:rPr>
              <w:t>快速互换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4.2.1</w:t>
            </w:r>
            <w:r>
              <w:rPr>
                <w:rFonts w:hint="eastAsia"/>
                <w:szCs w:val="21"/>
                <w:highlight w:val="none"/>
                <w:lang w:val="en-US" w:eastAsia="zh-CN"/>
              </w:rPr>
              <w:t>4</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szCs w:val="21"/>
                <w:highlight w:val="none"/>
              </w:rPr>
              <w:t>推雪板铲刃</w:t>
            </w:r>
            <w:r>
              <w:rPr>
                <w:rFonts w:hint="eastAsia" w:ascii="宋体" w:hAnsi="宋体" w:cs="宋体-18030"/>
                <w:szCs w:val="21"/>
                <w:highlight w:val="none"/>
              </w:rPr>
              <w:t>具有耐磨性和抗冲击能力强及可更换的特点，采用</w:t>
            </w:r>
            <w:r>
              <w:rPr>
                <w:rFonts w:hint="eastAsia" w:ascii="微软雅黑" w:hAnsi="微软雅黑" w:eastAsia="微软雅黑" w:cs="Arial"/>
                <w:szCs w:val="21"/>
                <w:highlight w:val="none"/>
              </w:rPr>
              <w:t>80弹簧钢</w:t>
            </w:r>
            <w:r>
              <w:rPr>
                <w:rFonts w:hint="eastAsia" w:ascii="宋体" w:hAnsi="宋体"/>
                <w:szCs w:val="21"/>
                <w:highlight w:val="none"/>
              </w:rPr>
              <w:t>钢板或更优材料，</w:t>
            </w:r>
            <w:r>
              <w:rPr>
                <w:rFonts w:hint="eastAsia" w:ascii="宋体" w:hAnsi="宋体" w:cs="宋体-18030"/>
                <w:szCs w:val="21"/>
                <w:highlight w:val="none"/>
              </w:rPr>
              <w:t>（须在投标文件中提供材料特性和寿命等相关内容的带图片的详细说明）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4.2.1</w:t>
            </w:r>
            <w:r>
              <w:rPr>
                <w:rFonts w:hint="eastAsia"/>
                <w:szCs w:val="21"/>
                <w:highlight w:val="none"/>
                <w:lang w:val="en-US" w:eastAsia="zh-CN"/>
              </w:rPr>
              <w:t>5</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b/>
                <w:szCs w:val="21"/>
                <w:highlight w:val="none"/>
              </w:rPr>
              <w:t>*推雪板宽：≥</w:t>
            </w:r>
            <w:r>
              <w:rPr>
                <w:rFonts w:ascii="宋体" w:hAnsi="宋体"/>
                <w:b/>
                <w:szCs w:val="21"/>
                <w:highlight w:val="none"/>
              </w:rPr>
              <w:t>3</w:t>
            </w:r>
            <w:r>
              <w:rPr>
                <w:rFonts w:hint="eastAsia" w:ascii="宋体" w:hAnsi="宋体"/>
                <w:b/>
                <w:szCs w:val="21"/>
                <w:highlight w:val="none"/>
              </w:rPr>
              <w:t>60</w:t>
            </w:r>
            <w:r>
              <w:rPr>
                <w:rFonts w:ascii="宋体" w:hAnsi="宋体"/>
                <w:b/>
                <w:szCs w:val="21"/>
                <w:highlight w:val="none"/>
              </w:rPr>
              <w:t>0mm</w:t>
            </w:r>
            <w:r>
              <w:rPr>
                <w:rFonts w:hint="eastAsia" w:ascii="宋体" w:hAnsi="宋体"/>
                <w:b/>
                <w:szCs w:val="21"/>
                <w:highlight w:val="none"/>
              </w:rPr>
              <w:t>，工作宽度：≥3200mm, 可</w:t>
            </w:r>
            <w:r>
              <w:rPr>
                <w:rFonts w:ascii="宋体" w:hAnsi="宋体"/>
                <w:b/>
                <w:szCs w:val="21"/>
                <w:highlight w:val="none"/>
              </w:rPr>
              <w:t>液压控制</w:t>
            </w:r>
            <w:r>
              <w:rPr>
                <w:rFonts w:hint="eastAsia" w:ascii="宋体" w:hAnsi="宋体"/>
                <w:b/>
                <w:szCs w:val="21"/>
                <w:highlight w:val="none"/>
              </w:rPr>
              <w:t>左右摆动角度左右摆动角度：≥0-±25°，</w:t>
            </w:r>
            <w:r>
              <w:rPr>
                <w:rFonts w:hint="eastAsia" w:ascii="宋体" w:hAnsi="宋体" w:cs="宋体-18030"/>
                <w:b/>
                <w:szCs w:val="21"/>
                <w:highlight w:val="none"/>
              </w:rPr>
              <w:t>有限位功能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4.2.1</w:t>
            </w:r>
            <w:r>
              <w:rPr>
                <w:rFonts w:hint="eastAsia"/>
                <w:szCs w:val="21"/>
                <w:highlight w:val="none"/>
                <w:lang w:val="en-US" w:eastAsia="zh-CN"/>
              </w:rPr>
              <w:t>6</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b/>
                <w:szCs w:val="21"/>
                <w:highlight w:val="none"/>
              </w:rPr>
              <w:t>*推雪板高：≥12</w:t>
            </w:r>
            <w:r>
              <w:rPr>
                <w:rFonts w:ascii="宋体" w:hAnsi="宋体"/>
                <w:b/>
                <w:szCs w:val="21"/>
                <w:highlight w:val="none"/>
              </w:rPr>
              <w:t>00mm</w:t>
            </w:r>
            <w:r>
              <w:rPr>
                <w:rFonts w:hint="eastAsia" w:ascii="宋体" w:hAnsi="宋体"/>
                <w:b/>
                <w:szCs w:val="21"/>
                <w:highlight w:val="none"/>
              </w:rPr>
              <w:t>，除雪板重量：≥1000kg，对压实雪具有强制下压功能，保证在短时间内清除压实雪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4.2.1</w:t>
            </w:r>
            <w:r>
              <w:rPr>
                <w:rFonts w:hint="eastAsia"/>
                <w:szCs w:val="21"/>
                <w:highlight w:val="none"/>
                <w:lang w:val="en-US" w:eastAsia="zh-CN"/>
              </w:rPr>
              <w:t>7</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szCs w:val="21"/>
                <w:highlight w:val="none"/>
              </w:rPr>
              <w:t>最大除雪速度：≥5</w:t>
            </w:r>
            <w:r>
              <w:rPr>
                <w:rFonts w:ascii="宋体" w:hAnsi="宋体"/>
                <w:szCs w:val="21"/>
                <w:highlight w:val="none"/>
              </w:rPr>
              <w:t>0</w:t>
            </w:r>
            <w:r>
              <w:rPr>
                <w:rFonts w:hint="eastAsia" w:ascii="宋体" w:hAnsi="宋体"/>
                <w:szCs w:val="21"/>
                <w:highlight w:val="none"/>
              </w:rPr>
              <w:t>k</w:t>
            </w:r>
            <w:r>
              <w:rPr>
                <w:rFonts w:ascii="宋体" w:hAnsi="宋体"/>
                <w:szCs w:val="21"/>
                <w:highlight w:val="none"/>
              </w:rPr>
              <w:t>m/h</w:t>
            </w:r>
            <w:r>
              <w:rPr>
                <w:rFonts w:hint="eastAsia" w:ascii="宋体" w:hAnsi="宋体"/>
                <w:szCs w:val="21"/>
                <w:highlight w:val="none"/>
              </w:rPr>
              <w:t>，（提供实现结果的详细说明，若提供清晰视频资料更佳）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default" w:ascii="宋体" w:hAnsi="宋体" w:eastAsia="宋体"/>
                <w:szCs w:val="21"/>
                <w:highlight w:val="none"/>
                <w:lang w:val="en-US" w:eastAsia="zh-CN"/>
              </w:rPr>
            </w:pPr>
            <w:r>
              <w:rPr>
                <w:rFonts w:hint="eastAsia" w:ascii="宋体" w:hAnsi="宋体"/>
                <w:szCs w:val="21"/>
                <w:highlight w:val="none"/>
              </w:rPr>
              <w:t>4.2.</w:t>
            </w:r>
            <w:r>
              <w:rPr>
                <w:rFonts w:hint="eastAsia"/>
                <w:szCs w:val="21"/>
                <w:highlight w:val="none"/>
                <w:lang w:val="en-US" w:eastAsia="zh-CN"/>
              </w:rPr>
              <w:t>18</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除雪板可采用弯曲流线型设计从而高速下具有抛雪功能。板面有钢制框架保护或配加强筋保护（加强筋个数：</w:t>
            </w:r>
            <w:r>
              <w:rPr>
                <w:rFonts w:ascii="宋体" w:hAnsi="宋体"/>
                <w:szCs w:val="21"/>
                <w:highlight w:val="none"/>
              </w:rPr>
              <w:t xml:space="preserve"> 10</w:t>
            </w:r>
            <w:r>
              <w:rPr>
                <w:rFonts w:hint="eastAsia" w:ascii="宋体" w:hAnsi="宋体"/>
                <w:szCs w:val="21"/>
                <w:highlight w:val="none"/>
              </w:rPr>
              <w:t>±3），具有抗撞击能力。（提供带彩色图片的说明）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default" w:ascii="宋体" w:hAnsi="宋体" w:eastAsia="宋体"/>
                <w:szCs w:val="21"/>
                <w:highlight w:val="none"/>
                <w:lang w:val="en-US" w:eastAsia="zh-CN"/>
              </w:rPr>
            </w:pPr>
            <w:r>
              <w:rPr>
                <w:rFonts w:hint="eastAsia" w:ascii="宋体" w:hAnsi="宋体"/>
                <w:szCs w:val="21"/>
                <w:highlight w:val="none"/>
              </w:rPr>
              <w:t>4.2.</w:t>
            </w:r>
            <w:r>
              <w:rPr>
                <w:rFonts w:hint="eastAsia"/>
                <w:szCs w:val="21"/>
                <w:highlight w:val="none"/>
                <w:lang w:val="en-US" w:eastAsia="zh-CN"/>
              </w:rPr>
              <w:t>19</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szCs w:val="21"/>
                <w:highlight w:val="none"/>
              </w:rPr>
              <w:t>推雪板液压系统驱动全部各种动作并可车内实现控制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4.2.2</w:t>
            </w:r>
            <w:r>
              <w:rPr>
                <w:rFonts w:hint="eastAsia"/>
                <w:szCs w:val="21"/>
                <w:highlight w:val="none"/>
                <w:lang w:val="en-US" w:eastAsia="zh-CN"/>
              </w:rPr>
              <w:t>0</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cs="宋体-18030"/>
                <w:b/>
                <w:szCs w:val="21"/>
                <w:highlight w:val="none"/>
              </w:rPr>
              <w:t>*</w:t>
            </w:r>
            <w:r>
              <w:rPr>
                <w:rFonts w:hint="eastAsia" w:ascii="宋体" w:hAnsi="宋体"/>
                <w:b/>
                <w:szCs w:val="21"/>
                <w:highlight w:val="none"/>
              </w:rPr>
              <w:t>推雪板</w:t>
            </w:r>
            <w:r>
              <w:rPr>
                <w:rFonts w:hint="eastAsia" w:ascii="宋体" w:hAnsi="宋体" w:cs="宋体-18030"/>
                <w:b/>
                <w:szCs w:val="21"/>
                <w:highlight w:val="none"/>
              </w:rPr>
              <w:t>具有</w:t>
            </w:r>
            <w:r>
              <w:rPr>
                <w:rFonts w:hint="eastAsia" w:ascii="宋体" w:hAnsi="宋体"/>
                <w:b/>
                <w:szCs w:val="21"/>
                <w:highlight w:val="none"/>
              </w:rPr>
              <w:t>自动避障和自动复位</w:t>
            </w:r>
            <w:r>
              <w:rPr>
                <w:rFonts w:hint="eastAsia" w:ascii="宋体" w:hAnsi="宋体" w:cs="宋体-18030"/>
                <w:b/>
                <w:szCs w:val="21"/>
                <w:highlight w:val="none"/>
              </w:rPr>
              <w:t>功能，避障形式采</w:t>
            </w:r>
            <w:r>
              <w:rPr>
                <w:rFonts w:hint="eastAsia" w:ascii="宋体" w:hAnsi="宋体" w:cs="宋体-18030"/>
                <w:b/>
                <w:szCs w:val="21"/>
                <w:highlight w:val="none"/>
                <w:u w:val="single"/>
              </w:rPr>
              <w:t>用</w:t>
            </w:r>
            <w:r>
              <w:rPr>
                <w:rFonts w:hint="eastAsia" w:ascii="宋体" w:hAnsi="宋体" w:cs="宋体-18030"/>
                <w:b/>
                <w:szCs w:val="21"/>
                <w:highlight w:val="none"/>
              </w:rPr>
              <w:t>压缩式弹簧避障，撞击障碍物后雪板整体可自动翻转或</w:t>
            </w:r>
            <w:r>
              <w:rPr>
                <w:rFonts w:hint="eastAsia" w:ascii="宋体" w:hAnsi="宋体"/>
                <w:b/>
                <w:szCs w:val="21"/>
                <w:highlight w:val="none"/>
              </w:rPr>
              <w:t>铲刃分段式液压避障</w:t>
            </w:r>
            <w:r>
              <w:rPr>
                <w:rFonts w:hint="eastAsia" w:ascii="宋体" w:hAnsi="宋体" w:cs="宋体-18030"/>
                <w:b/>
                <w:szCs w:val="21"/>
                <w:highlight w:val="none"/>
              </w:rPr>
              <w:t>，越障高度：≥</w:t>
            </w:r>
            <w:r>
              <w:rPr>
                <w:rFonts w:ascii="宋体" w:hAnsi="宋体" w:cs="宋体-18030"/>
                <w:b/>
                <w:szCs w:val="21"/>
                <w:highlight w:val="none"/>
              </w:rPr>
              <w:t>1</w:t>
            </w:r>
            <w:r>
              <w:rPr>
                <w:rFonts w:hint="eastAsia" w:ascii="宋体" w:hAnsi="宋体" w:cs="宋体-18030"/>
                <w:b/>
                <w:szCs w:val="21"/>
                <w:highlight w:val="none"/>
              </w:rPr>
              <w:t>0</w:t>
            </w:r>
            <w:r>
              <w:rPr>
                <w:rFonts w:ascii="宋体" w:hAnsi="宋体" w:cs="宋体-18030"/>
                <w:b/>
                <w:szCs w:val="21"/>
                <w:highlight w:val="none"/>
              </w:rPr>
              <w:t>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4.2.2</w:t>
            </w:r>
            <w:r>
              <w:rPr>
                <w:rFonts w:hint="eastAsia"/>
                <w:szCs w:val="21"/>
                <w:highlight w:val="none"/>
                <w:lang w:val="en-US" w:eastAsia="zh-CN"/>
              </w:rPr>
              <w:t>1</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cs="宋体-18030"/>
                <w:szCs w:val="21"/>
                <w:highlight w:val="none"/>
              </w:rPr>
              <w:t>推雪板要求具有路沿防碰撞功能，防撞装置尺寸（长×宽×厚）：≥</w:t>
            </w:r>
            <w:r>
              <w:rPr>
                <w:rFonts w:ascii="宋体" w:hAnsi="宋体" w:cs="宋体-18030"/>
                <w:szCs w:val="21"/>
                <w:highlight w:val="none"/>
              </w:rPr>
              <w:t>330</w:t>
            </w:r>
            <w:r>
              <w:rPr>
                <w:rFonts w:hint="eastAsia" w:ascii="宋体" w:hAnsi="宋体" w:cs="宋体-18030"/>
                <w:szCs w:val="21"/>
                <w:highlight w:val="none"/>
              </w:rPr>
              <w:t>×</w:t>
            </w:r>
            <w:r>
              <w:rPr>
                <w:rFonts w:ascii="宋体" w:hAnsi="宋体" w:cs="宋体-18030"/>
                <w:szCs w:val="21"/>
                <w:highlight w:val="none"/>
              </w:rPr>
              <w:t>110</w:t>
            </w:r>
            <w:r>
              <w:rPr>
                <w:rFonts w:hint="eastAsia" w:ascii="宋体" w:hAnsi="宋体" w:cs="宋体-18030"/>
                <w:szCs w:val="21"/>
                <w:highlight w:val="none"/>
              </w:rPr>
              <w:t>×</w:t>
            </w:r>
            <w:r>
              <w:rPr>
                <w:rFonts w:ascii="宋体" w:hAnsi="宋体" w:cs="宋体-18030"/>
                <w:szCs w:val="21"/>
                <w:highlight w:val="none"/>
              </w:rPr>
              <w:t>25mm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4.2.2</w:t>
            </w:r>
            <w:r>
              <w:rPr>
                <w:rFonts w:hint="eastAsia"/>
                <w:szCs w:val="21"/>
                <w:highlight w:val="none"/>
                <w:lang w:val="en-US" w:eastAsia="zh-CN"/>
              </w:rPr>
              <w:t>2</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cs="宋体-18030"/>
                <w:szCs w:val="21"/>
                <w:highlight w:val="none"/>
              </w:rPr>
              <w:t>撒布机整机结构需采用防腐蚀结构设计，</w:t>
            </w:r>
            <w:r>
              <w:rPr>
                <w:rFonts w:ascii="宋体" w:hAnsi="宋体" w:cs="宋体-18030"/>
                <w:szCs w:val="21"/>
                <w:highlight w:val="none"/>
              </w:rPr>
              <w:t>贮料仓内部</w:t>
            </w:r>
            <w:r>
              <w:rPr>
                <w:rFonts w:hint="eastAsia" w:ascii="宋体" w:hAnsi="宋体" w:cs="宋体-18030"/>
                <w:szCs w:val="21"/>
                <w:highlight w:val="none"/>
              </w:rPr>
              <w:t>、撒布系统及外露件须经防腐蚀表面处理</w:t>
            </w:r>
            <w:r>
              <w:rPr>
                <w:rFonts w:ascii="宋体" w:hAnsi="宋体" w:cs="宋体-18030"/>
                <w:szCs w:val="21"/>
                <w:highlight w:val="none"/>
              </w:rPr>
              <w:t>涂有防腐涂层</w:t>
            </w:r>
            <w:r>
              <w:rPr>
                <w:rFonts w:hint="eastAsia" w:ascii="宋体" w:hAnsi="宋体" w:cs="宋体-18030"/>
                <w:szCs w:val="21"/>
                <w:highlight w:val="none"/>
              </w:rPr>
              <w:t>（</w:t>
            </w:r>
            <w:r>
              <w:rPr>
                <w:rFonts w:hint="eastAsia" w:ascii="宋体" w:hAnsi="宋体"/>
                <w:szCs w:val="21"/>
                <w:highlight w:val="none"/>
              </w:rPr>
              <w:t>静电喷涂工艺，表面喷涂需达到SA2.5级别）</w:t>
            </w:r>
            <w:r>
              <w:rPr>
                <w:rFonts w:ascii="宋体" w:hAnsi="宋体" w:cs="宋体-18030"/>
                <w:szCs w:val="21"/>
                <w:highlight w:val="none"/>
              </w:rPr>
              <w:t>，</w:t>
            </w:r>
            <w:r>
              <w:rPr>
                <w:rFonts w:hint="eastAsia" w:ascii="宋体" w:hAnsi="宋体" w:cs="宋体-18030"/>
                <w:szCs w:val="21"/>
                <w:highlight w:val="none"/>
              </w:rPr>
              <w:t>保证与盐类材料长期接触后不锈蚀，</w:t>
            </w:r>
            <w:r>
              <w:rPr>
                <w:rFonts w:hint="eastAsia" w:ascii="宋体" w:hAnsi="宋体"/>
                <w:szCs w:val="21"/>
                <w:highlight w:val="none"/>
              </w:rPr>
              <w:t>耐盐雾腐蚀</w:t>
            </w:r>
            <w:r>
              <w:rPr>
                <w:rFonts w:hint="eastAsia" w:ascii="宋体" w:hAnsi="宋体" w:cs="宋体-18030"/>
                <w:szCs w:val="21"/>
                <w:highlight w:val="none"/>
              </w:rPr>
              <w:t>：≥</w:t>
            </w:r>
            <w:r>
              <w:rPr>
                <w:rFonts w:hint="eastAsia" w:ascii="宋体" w:hAnsi="宋体"/>
                <w:szCs w:val="21"/>
                <w:highlight w:val="none"/>
              </w:rPr>
              <w:t>2000小时</w:t>
            </w:r>
            <w:r>
              <w:rPr>
                <w:rFonts w:hint="eastAsia" w:ascii="宋体" w:hAnsi="宋体" w:cs="宋体-18030"/>
                <w:szCs w:val="21"/>
                <w:highlight w:val="none"/>
              </w:rPr>
              <w:t>（须提供各关键部位材料说明）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4.2.2</w:t>
            </w:r>
            <w:r>
              <w:rPr>
                <w:rFonts w:hint="eastAsia"/>
                <w:szCs w:val="21"/>
                <w:highlight w:val="none"/>
                <w:lang w:val="en-US" w:eastAsia="zh-CN"/>
              </w:rPr>
              <w:t>3</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cs="宋体-18030"/>
                <w:b/>
                <w:szCs w:val="21"/>
                <w:highlight w:val="none"/>
              </w:rPr>
              <w:t>*撒布机料仓容量：≥</w:t>
            </w:r>
            <w:r>
              <w:rPr>
                <w:rFonts w:ascii="宋体" w:hAnsi="宋体" w:cs="宋体-18030"/>
                <w:b/>
                <w:szCs w:val="21"/>
                <w:highlight w:val="none"/>
              </w:rPr>
              <w:t>1</w:t>
            </w:r>
            <w:r>
              <w:rPr>
                <w:rFonts w:hint="eastAsia" w:ascii="宋体" w:hAnsi="宋体" w:cs="宋体-18030"/>
                <w:b/>
                <w:szCs w:val="21"/>
                <w:highlight w:val="none"/>
              </w:rPr>
              <w:t>2</w:t>
            </w:r>
            <w:r>
              <w:rPr>
                <w:rFonts w:ascii="宋体" w:hAnsi="宋体" w:cs="宋体-18030"/>
                <w:b/>
                <w:szCs w:val="21"/>
                <w:highlight w:val="none"/>
              </w:rPr>
              <w:t>m</w:t>
            </w:r>
            <w:r>
              <w:rPr>
                <w:rFonts w:hint="eastAsia" w:ascii="宋体" w:hAnsi="宋体" w:cs="宋体-18030"/>
                <w:b/>
                <w:szCs w:val="21"/>
                <w:highlight w:val="none"/>
              </w:rPr>
              <w:t>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4.2.2</w:t>
            </w:r>
            <w:r>
              <w:rPr>
                <w:rFonts w:hint="eastAsia"/>
                <w:szCs w:val="21"/>
                <w:highlight w:val="none"/>
                <w:lang w:val="en-US" w:eastAsia="zh-CN"/>
              </w:rPr>
              <w:t>4</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cs="宋体-18030"/>
                <w:szCs w:val="21"/>
                <w:highlight w:val="none"/>
              </w:rPr>
              <w:t>撒布机由底盘取力液压驱动，具有智能式实时反馈控制并与车速相关联（撒布密度与撒布宽度一旦设定不受车速变化的影响而变化），</w:t>
            </w:r>
            <w:r>
              <w:rPr>
                <w:rFonts w:ascii="宋体" w:hAnsi="宋体" w:cs="宋体-18030"/>
                <w:szCs w:val="21"/>
                <w:highlight w:val="none"/>
              </w:rPr>
              <w:t>撒</w:t>
            </w:r>
            <w:r>
              <w:rPr>
                <w:rFonts w:hint="eastAsia" w:ascii="宋体" w:hAnsi="宋体" w:cs="宋体-18030"/>
                <w:szCs w:val="21"/>
                <w:highlight w:val="none"/>
              </w:rPr>
              <w:t>盐或</w:t>
            </w:r>
            <w:r>
              <w:rPr>
                <w:rFonts w:hint="eastAsia" w:ascii="宋体" w:hAnsi="宋体"/>
                <w:szCs w:val="21"/>
                <w:highlight w:val="none"/>
              </w:rPr>
              <w:t>撒砂</w:t>
            </w:r>
            <w:r>
              <w:rPr>
                <w:rFonts w:ascii="宋体" w:hAnsi="宋体" w:cs="宋体-18030"/>
                <w:szCs w:val="21"/>
                <w:highlight w:val="none"/>
              </w:rPr>
              <w:t>量</w:t>
            </w:r>
            <w:r>
              <w:rPr>
                <w:rFonts w:hint="eastAsia" w:ascii="宋体" w:hAnsi="宋体" w:cs="宋体-18030"/>
                <w:szCs w:val="21"/>
                <w:highlight w:val="none"/>
              </w:rPr>
              <w:t>：30</w:t>
            </w:r>
            <w:r>
              <w:rPr>
                <w:szCs w:val="21"/>
                <w:highlight w:val="none"/>
              </w:rPr>
              <w:t>～</w:t>
            </w:r>
            <w:r>
              <w:rPr>
                <w:rFonts w:hint="eastAsia" w:ascii="宋体" w:hAnsi="宋体"/>
                <w:szCs w:val="21"/>
                <w:highlight w:val="none"/>
              </w:rPr>
              <w:t>300g/m³</w:t>
            </w:r>
            <w:r>
              <w:rPr>
                <w:rFonts w:hint="eastAsia" w:ascii="宋体" w:hAnsi="宋体" w:cs="宋体-18030"/>
                <w:szCs w:val="21"/>
                <w:highlight w:val="none"/>
              </w:rPr>
              <w:t xml:space="preserve"> 或10</w:t>
            </w:r>
            <w:r>
              <w:rPr>
                <w:szCs w:val="21"/>
                <w:highlight w:val="none"/>
              </w:rPr>
              <w:t>～</w:t>
            </w:r>
            <w:r>
              <w:rPr>
                <w:rFonts w:hint="eastAsia" w:ascii="宋体" w:hAnsi="宋体" w:cs="宋体-18030"/>
                <w:szCs w:val="21"/>
                <w:highlight w:val="none"/>
              </w:rPr>
              <w:t>70</w:t>
            </w:r>
            <w:r>
              <w:rPr>
                <w:szCs w:val="21"/>
                <w:highlight w:val="none"/>
              </w:rPr>
              <w:t xml:space="preserve"> g/m</w:t>
            </w:r>
            <w:r>
              <w:rPr>
                <w:szCs w:val="21"/>
                <w:highlight w:val="none"/>
                <w:vertAlign w:val="superscript"/>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4.2.2</w:t>
            </w:r>
            <w:r>
              <w:rPr>
                <w:rFonts w:hint="eastAsia"/>
                <w:szCs w:val="21"/>
                <w:highlight w:val="none"/>
                <w:lang w:val="en-US" w:eastAsia="zh-CN"/>
              </w:rPr>
              <w:t>5</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cs="宋体-18030"/>
                <w:szCs w:val="21"/>
                <w:highlight w:val="none"/>
              </w:rPr>
              <w:t>撒布机应具有左右对称、单左方向、单右方向撒布三种撒布模式，</w:t>
            </w:r>
            <w:r>
              <w:rPr>
                <w:rFonts w:ascii="宋体" w:hAnsi="宋体" w:cs="宋体-18030"/>
                <w:szCs w:val="21"/>
                <w:highlight w:val="none"/>
              </w:rPr>
              <w:t>撒布宽度</w:t>
            </w:r>
            <w:r>
              <w:rPr>
                <w:rFonts w:hint="eastAsia" w:ascii="宋体" w:hAnsi="宋体" w:cs="宋体-18030"/>
                <w:szCs w:val="21"/>
                <w:highlight w:val="none"/>
              </w:rPr>
              <w:t>：3</w:t>
            </w:r>
            <w:r>
              <w:rPr>
                <w:rFonts w:ascii="宋体" w:hAnsi="宋体" w:cs="宋体-18030"/>
                <w:szCs w:val="21"/>
                <w:highlight w:val="none"/>
              </w:rPr>
              <w:t>-</w:t>
            </w:r>
            <w:r>
              <w:rPr>
                <w:rFonts w:hint="eastAsia" w:ascii="宋体" w:hAnsi="宋体" w:cs="宋体-18030"/>
                <w:szCs w:val="21"/>
                <w:highlight w:val="none"/>
              </w:rPr>
              <w:t>10</w:t>
            </w:r>
            <w:r>
              <w:rPr>
                <w:rFonts w:ascii="宋体" w:hAnsi="宋体" w:cs="宋体-18030"/>
                <w:szCs w:val="21"/>
                <w:highlight w:val="none"/>
              </w:rPr>
              <w:t>m</w:t>
            </w:r>
            <w:r>
              <w:rPr>
                <w:rFonts w:hint="eastAsia" w:ascii="宋体" w:hAnsi="宋体" w:cs="宋体-18030"/>
                <w:szCs w:val="21"/>
                <w:highlight w:val="none"/>
              </w:rPr>
              <w:t>之间任意可调，可实现左侧或右侧的单侧撒布，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4.2.2</w:t>
            </w:r>
            <w:r>
              <w:rPr>
                <w:rFonts w:hint="eastAsia"/>
                <w:szCs w:val="21"/>
                <w:highlight w:val="none"/>
                <w:lang w:val="en-US" w:eastAsia="zh-CN"/>
              </w:rPr>
              <w:t>6</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cs="宋体-18030"/>
                <w:szCs w:val="21"/>
                <w:highlight w:val="none"/>
              </w:rPr>
              <w:t>最大撒布作业速度：≥4</w:t>
            </w:r>
            <w:r>
              <w:rPr>
                <w:rFonts w:ascii="宋体" w:hAnsi="宋体" w:cs="宋体-18030"/>
                <w:szCs w:val="21"/>
                <w:highlight w:val="none"/>
              </w:rPr>
              <w:t>0km/h</w:t>
            </w:r>
            <w:r>
              <w:rPr>
                <w:rFonts w:hint="eastAsia" w:ascii="宋体" w:hAnsi="宋体" w:cs="宋体-18030"/>
                <w:szCs w:val="21"/>
                <w:highlight w:val="none"/>
              </w:rPr>
              <w:t>，在驾驶室内控制，可随时对撒布机启动及关闭、撒布量大小、撒盐盘（拨料器）转速等进行任意调节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spacing w:line="280" w:lineRule="exact"/>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4.2.2</w:t>
            </w:r>
            <w:r>
              <w:rPr>
                <w:rFonts w:hint="eastAsia"/>
                <w:szCs w:val="21"/>
                <w:highlight w:val="none"/>
                <w:lang w:val="en-US" w:eastAsia="zh-CN"/>
              </w:rPr>
              <w:t>7</w:t>
            </w:r>
          </w:p>
        </w:tc>
        <w:tc>
          <w:tcPr>
            <w:tcW w:w="8620" w:type="dxa"/>
            <w:tcBorders>
              <w:top w:val="single" w:color="auto" w:sz="4" w:space="0"/>
              <w:left w:val="single" w:color="auto" w:sz="4" w:space="0"/>
              <w:bottom w:val="single" w:color="auto" w:sz="4" w:space="0"/>
              <w:right w:val="double" w:color="auto" w:sz="4" w:space="0"/>
            </w:tcBorders>
            <w:vAlign w:val="center"/>
          </w:tcPr>
          <w:p>
            <w:pPr>
              <w:spacing w:line="280" w:lineRule="exact"/>
              <w:ind w:left="0" w:leftChars="0" w:right="0" w:rightChars="0"/>
              <w:jc w:val="both"/>
              <w:rPr>
                <w:rFonts w:ascii="宋体" w:hAnsi="宋体"/>
                <w:szCs w:val="21"/>
                <w:highlight w:val="none"/>
              </w:rPr>
            </w:pPr>
            <w:r>
              <w:rPr>
                <w:rFonts w:hint="eastAsia" w:ascii="宋体" w:hAnsi="宋体"/>
                <w:szCs w:val="21"/>
                <w:highlight w:val="none"/>
              </w:rPr>
              <w:t>撒布机出料口高度高低可调，调节档位：≥4档，以适应不同车型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spacing w:line="280" w:lineRule="exact"/>
              <w:ind w:left="0" w:leftChars="0" w:right="0" w:rightChars="0"/>
              <w:jc w:val="center"/>
              <w:rPr>
                <w:rFonts w:hint="default" w:ascii="宋体" w:hAnsi="宋体" w:eastAsia="宋体"/>
                <w:szCs w:val="21"/>
                <w:highlight w:val="none"/>
                <w:lang w:val="en-US" w:eastAsia="zh-CN"/>
              </w:rPr>
            </w:pPr>
            <w:r>
              <w:rPr>
                <w:rFonts w:hint="eastAsia" w:ascii="宋体" w:hAnsi="宋体"/>
                <w:szCs w:val="21"/>
                <w:highlight w:val="none"/>
              </w:rPr>
              <w:t>4.2.</w:t>
            </w:r>
            <w:r>
              <w:rPr>
                <w:rFonts w:hint="eastAsia"/>
                <w:szCs w:val="21"/>
                <w:highlight w:val="none"/>
                <w:lang w:val="en-US" w:eastAsia="zh-CN"/>
              </w:rPr>
              <w:t>28</w:t>
            </w:r>
          </w:p>
        </w:tc>
        <w:tc>
          <w:tcPr>
            <w:tcW w:w="8620" w:type="dxa"/>
            <w:tcBorders>
              <w:top w:val="single" w:color="auto" w:sz="4" w:space="0"/>
              <w:left w:val="single" w:color="auto" w:sz="4" w:space="0"/>
              <w:bottom w:val="single" w:color="auto" w:sz="4" w:space="0"/>
              <w:right w:val="double" w:color="auto" w:sz="4" w:space="0"/>
            </w:tcBorders>
            <w:vAlign w:val="center"/>
          </w:tcPr>
          <w:p>
            <w:pPr>
              <w:spacing w:line="280" w:lineRule="exact"/>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撒布机出料槽高度可任意调节，以方便板结融雪物料清除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899" w:type="dxa"/>
            <w:tcBorders>
              <w:top w:val="single" w:color="auto" w:sz="4" w:space="0"/>
              <w:left w:val="double" w:color="auto" w:sz="4" w:space="0"/>
              <w:bottom w:val="single" w:color="auto" w:sz="4" w:space="0"/>
              <w:right w:val="single" w:color="auto" w:sz="4" w:space="0"/>
            </w:tcBorders>
            <w:vAlign w:val="center"/>
          </w:tcPr>
          <w:p>
            <w:pPr>
              <w:spacing w:line="280" w:lineRule="exact"/>
              <w:ind w:left="0" w:leftChars="0" w:right="0" w:rightChars="0"/>
              <w:jc w:val="center"/>
              <w:rPr>
                <w:rFonts w:hint="default" w:ascii="宋体" w:hAnsi="宋体" w:eastAsia="宋体"/>
                <w:szCs w:val="21"/>
                <w:highlight w:val="none"/>
                <w:lang w:val="en-US" w:eastAsia="zh-CN"/>
              </w:rPr>
            </w:pPr>
            <w:r>
              <w:rPr>
                <w:rFonts w:hint="eastAsia" w:ascii="宋体" w:hAnsi="宋体"/>
                <w:szCs w:val="21"/>
                <w:highlight w:val="none"/>
              </w:rPr>
              <w:t>4.2.</w:t>
            </w:r>
            <w:r>
              <w:rPr>
                <w:rFonts w:hint="eastAsia"/>
                <w:szCs w:val="21"/>
                <w:highlight w:val="none"/>
                <w:lang w:val="en-US" w:eastAsia="zh-CN"/>
              </w:rPr>
              <w:t>29</w:t>
            </w:r>
          </w:p>
        </w:tc>
        <w:tc>
          <w:tcPr>
            <w:tcW w:w="8620" w:type="dxa"/>
            <w:tcBorders>
              <w:top w:val="single" w:color="auto" w:sz="4" w:space="0"/>
              <w:left w:val="single" w:color="auto" w:sz="4" w:space="0"/>
              <w:bottom w:val="single" w:color="auto" w:sz="4" w:space="0"/>
              <w:right w:val="double" w:color="auto" w:sz="4" w:space="0"/>
            </w:tcBorders>
            <w:vAlign w:val="center"/>
          </w:tcPr>
          <w:p>
            <w:pPr>
              <w:spacing w:line="280" w:lineRule="exact"/>
              <w:ind w:left="0" w:leftChars="0" w:right="0" w:rightChars="0"/>
              <w:jc w:val="both"/>
              <w:rPr>
                <w:rFonts w:ascii="宋体" w:hAnsi="宋体"/>
                <w:szCs w:val="21"/>
                <w:highlight w:val="none"/>
              </w:rPr>
            </w:pPr>
            <w:r>
              <w:rPr>
                <w:rFonts w:hint="eastAsia" w:ascii="宋体" w:hAnsi="宋体"/>
                <w:szCs w:val="21"/>
                <w:highlight w:val="none"/>
              </w:rPr>
              <w:t>撒布机应可实现不经撒布盘，可方便卸除撒布机内剩余融雪剂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899" w:type="dxa"/>
            <w:tcBorders>
              <w:top w:val="single" w:color="auto" w:sz="4" w:space="0"/>
              <w:left w:val="double" w:color="auto" w:sz="4" w:space="0"/>
              <w:bottom w:val="single" w:color="auto" w:sz="4" w:space="0"/>
              <w:right w:val="single" w:color="auto" w:sz="4" w:space="0"/>
            </w:tcBorders>
            <w:vAlign w:val="center"/>
          </w:tcPr>
          <w:p>
            <w:pPr>
              <w:spacing w:line="280" w:lineRule="exact"/>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4.2.3</w:t>
            </w:r>
            <w:r>
              <w:rPr>
                <w:rFonts w:hint="eastAsia"/>
                <w:szCs w:val="21"/>
                <w:highlight w:val="none"/>
                <w:lang w:val="en-US" w:eastAsia="zh-CN"/>
              </w:rPr>
              <w:t>0</w:t>
            </w:r>
          </w:p>
        </w:tc>
        <w:tc>
          <w:tcPr>
            <w:tcW w:w="8620" w:type="dxa"/>
            <w:tcBorders>
              <w:top w:val="single" w:color="auto" w:sz="4" w:space="0"/>
              <w:left w:val="single" w:color="auto" w:sz="4" w:space="0"/>
              <w:bottom w:val="single" w:color="auto" w:sz="4" w:space="0"/>
              <w:right w:val="double" w:color="auto" w:sz="4" w:space="0"/>
            </w:tcBorders>
            <w:vAlign w:val="center"/>
          </w:tcPr>
          <w:p>
            <w:pPr>
              <w:spacing w:line="280" w:lineRule="exact"/>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*钢制履带式</w:t>
            </w:r>
            <w:r>
              <w:rPr>
                <w:rFonts w:hint="eastAsia"/>
                <w:szCs w:val="21"/>
                <w:highlight w:val="none"/>
                <w:lang w:eastAsia="zh-CN"/>
              </w:rPr>
              <w:t>（</w:t>
            </w:r>
            <w:r>
              <w:rPr>
                <w:rFonts w:hint="eastAsia"/>
                <w:szCs w:val="21"/>
                <w:highlight w:val="none"/>
                <w:lang w:val="en-US" w:eastAsia="zh-CN"/>
              </w:rPr>
              <w:t>不锈钢</w:t>
            </w:r>
            <w:r>
              <w:rPr>
                <w:rFonts w:hint="eastAsia"/>
                <w:szCs w:val="21"/>
                <w:highlight w:val="none"/>
                <w:lang w:eastAsia="zh-CN"/>
              </w:rPr>
              <w:t>）</w:t>
            </w:r>
            <w:r>
              <w:rPr>
                <w:rFonts w:hint="eastAsia" w:ascii="宋体" w:hAnsi="宋体"/>
                <w:szCs w:val="21"/>
                <w:highlight w:val="none"/>
              </w:rPr>
              <w:t>或皮带式输料器，坚固耐用抗腐蚀性优良，履带有效宽度：≥</w:t>
            </w:r>
            <w:r>
              <w:rPr>
                <w:rFonts w:ascii="宋体" w:hAnsi="宋体"/>
                <w:szCs w:val="21"/>
                <w:highlight w:val="none"/>
              </w:rPr>
              <w:t>450mm</w:t>
            </w:r>
            <w:r>
              <w:rPr>
                <w:rFonts w:hint="eastAsia" w:ascii="宋体" w:hAnsi="宋体"/>
                <w:szCs w:val="21"/>
                <w:highlight w:val="none"/>
              </w:rPr>
              <w:t>，液压泵带动液压变速箱，驱动输料器，能避免打滑、丢转产生的漏撒、撒布不均匀等现象，还具有对物料的削切功能，</w:t>
            </w:r>
            <w:r>
              <w:rPr>
                <w:rFonts w:hint="eastAsia" w:ascii="宋体" w:hAnsi="宋体"/>
                <w:bCs/>
                <w:szCs w:val="21"/>
                <w:highlight w:val="none"/>
              </w:rPr>
              <w:t>削切</w:t>
            </w:r>
            <w:r>
              <w:rPr>
                <w:rFonts w:hint="eastAsia" w:ascii="宋体" w:hAnsi="宋体"/>
                <w:szCs w:val="21"/>
                <w:highlight w:val="none"/>
              </w:rPr>
              <w:t>板结且体积较大的物料，以保障出料口不出现堵塞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899" w:type="dxa"/>
            <w:tcBorders>
              <w:top w:val="single" w:color="auto" w:sz="4" w:space="0"/>
              <w:left w:val="double" w:color="auto" w:sz="4" w:space="0"/>
              <w:bottom w:val="single" w:color="auto" w:sz="4" w:space="0"/>
              <w:right w:val="single" w:color="auto" w:sz="4" w:space="0"/>
            </w:tcBorders>
            <w:vAlign w:val="center"/>
          </w:tcPr>
          <w:p>
            <w:pPr>
              <w:spacing w:line="280" w:lineRule="exact"/>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4.2.3</w:t>
            </w:r>
            <w:r>
              <w:rPr>
                <w:rFonts w:hint="eastAsia"/>
                <w:szCs w:val="21"/>
                <w:highlight w:val="none"/>
                <w:lang w:val="en-US" w:eastAsia="zh-CN"/>
              </w:rPr>
              <w:t>1</w:t>
            </w:r>
          </w:p>
        </w:tc>
        <w:tc>
          <w:tcPr>
            <w:tcW w:w="8620" w:type="dxa"/>
            <w:tcBorders>
              <w:top w:val="single" w:color="auto" w:sz="4" w:space="0"/>
              <w:left w:val="single" w:color="auto" w:sz="4" w:space="0"/>
              <w:bottom w:val="single" w:color="auto" w:sz="4" w:space="0"/>
              <w:right w:val="double" w:color="auto" w:sz="4" w:space="0"/>
            </w:tcBorders>
            <w:vAlign w:val="center"/>
          </w:tcPr>
          <w:p>
            <w:pPr>
              <w:spacing w:line="280" w:lineRule="exact"/>
              <w:ind w:left="0" w:leftChars="0" w:right="0" w:rightChars="0"/>
              <w:jc w:val="both"/>
              <w:rPr>
                <w:rFonts w:ascii="宋体" w:hAnsi="宋体"/>
                <w:szCs w:val="21"/>
                <w:highlight w:val="none"/>
              </w:rPr>
            </w:pPr>
            <w:r>
              <w:rPr>
                <w:rFonts w:hint="eastAsia" w:ascii="宋体" w:hAnsi="宋体"/>
                <w:szCs w:val="21"/>
                <w:highlight w:val="none"/>
              </w:rPr>
              <w:t>防雨布具备手动启闭防雨篷布的装置，带张紧器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4.2.3</w:t>
            </w:r>
            <w:r>
              <w:rPr>
                <w:rFonts w:hint="eastAsia"/>
                <w:szCs w:val="21"/>
                <w:highlight w:val="none"/>
                <w:lang w:val="en-US" w:eastAsia="zh-CN"/>
              </w:rPr>
              <w:t>2</w:t>
            </w:r>
          </w:p>
        </w:tc>
        <w:tc>
          <w:tcPr>
            <w:tcW w:w="8620" w:type="dxa"/>
            <w:tcBorders>
              <w:top w:val="single" w:color="auto" w:sz="4" w:space="0"/>
              <w:left w:val="single" w:color="auto" w:sz="4" w:space="0"/>
              <w:bottom w:val="single" w:color="auto" w:sz="4" w:space="0"/>
              <w:right w:val="double" w:color="auto" w:sz="4" w:space="0"/>
            </w:tcBorders>
            <w:vAlign w:val="center"/>
          </w:tcPr>
          <w:p>
            <w:pPr>
              <w:spacing w:line="280" w:lineRule="exact"/>
              <w:ind w:left="0" w:leftChars="0" w:right="0" w:rightChars="0"/>
              <w:jc w:val="both"/>
              <w:rPr>
                <w:rFonts w:hint="eastAsia" w:ascii="宋体" w:hAnsi="宋体" w:eastAsia="宋体"/>
                <w:szCs w:val="21"/>
                <w:highlight w:val="none"/>
                <w:lang w:eastAsia="zh-CN"/>
              </w:rPr>
            </w:pPr>
            <w:r>
              <w:rPr>
                <w:rFonts w:hint="eastAsia" w:ascii="宋体" w:hAnsi="宋体"/>
                <w:szCs w:val="21"/>
                <w:highlight w:val="none"/>
              </w:rPr>
              <w:t>履带上方设有倒</w:t>
            </w:r>
            <w:r>
              <w:rPr>
                <w:rFonts w:ascii="宋体" w:hAnsi="宋体"/>
                <w:szCs w:val="21"/>
                <w:highlight w:val="none"/>
              </w:rPr>
              <w:t>V</w:t>
            </w:r>
            <w:r>
              <w:rPr>
                <w:rFonts w:hint="eastAsia" w:ascii="宋体" w:hAnsi="宋体"/>
                <w:szCs w:val="21"/>
                <w:highlight w:val="none"/>
              </w:rPr>
              <w:t>形防堵塞隔板，减少融雪剂对输料器（履带）的压力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4.2.3</w:t>
            </w:r>
            <w:r>
              <w:rPr>
                <w:rFonts w:hint="eastAsia"/>
                <w:szCs w:val="21"/>
                <w:highlight w:val="none"/>
                <w:lang w:val="en-US" w:eastAsia="zh-CN"/>
              </w:rPr>
              <w:t>3</w:t>
            </w:r>
          </w:p>
        </w:tc>
        <w:tc>
          <w:tcPr>
            <w:tcW w:w="8620" w:type="dxa"/>
            <w:tcBorders>
              <w:top w:val="single" w:color="auto" w:sz="4" w:space="0"/>
              <w:left w:val="single" w:color="auto" w:sz="4" w:space="0"/>
              <w:bottom w:val="single" w:color="auto" w:sz="4" w:space="0"/>
              <w:right w:val="double" w:color="auto" w:sz="4" w:space="0"/>
            </w:tcBorders>
            <w:vAlign w:val="center"/>
          </w:tcPr>
          <w:p>
            <w:pPr>
              <w:spacing w:line="280" w:lineRule="exact"/>
              <w:ind w:left="0" w:leftChars="0" w:right="0" w:rightChars="0"/>
              <w:jc w:val="both"/>
              <w:rPr>
                <w:rFonts w:ascii="宋体" w:hAnsi="宋体"/>
                <w:szCs w:val="21"/>
                <w:highlight w:val="none"/>
              </w:rPr>
            </w:pPr>
            <w:r>
              <w:rPr>
                <w:rFonts w:hint="eastAsia" w:ascii="宋体" w:hAnsi="宋体"/>
                <w:szCs w:val="21"/>
                <w:highlight w:val="none"/>
              </w:rPr>
              <w:t>撒布机出料槽及拨盘装卸，能方便拆卸、安装，可实现输料器的单独运转，便于清空箱体内剩余融雪剂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4.2.3</w:t>
            </w:r>
            <w:r>
              <w:rPr>
                <w:rFonts w:hint="eastAsia"/>
                <w:szCs w:val="21"/>
                <w:highlight w:val="none"/>
                <w:lang w:val="en-US" w:eastAsia="zh-CN"/>
              </w:rPr>
              <w:t>4</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cs="宋体"/>
                <w:szCs w:val="21"/>
                <w:highlight w:val="none"/>
              </w:rPr>
              <w:t>千斤顶式自卸支腿</w:t>
            </w:r>
            <w:r>
              <w:rPr>
                <w:rFonts w:hint="eastAsia" w:ascii="宋体" w:hAnsi="宋体" w:eastAsia="仿宋_GB2312"/>
                <w:kern w:val="0"/>
                <w:szCs w:val="21"/>
                <w:highlight w:val="none"/>
              </w:rPr>
              <w:t>，</w:t>
            </w:r>
            <w:r>
              <w:rPr>
                <w:rFonts w:hint="eastAsia" w:ascii="宋体" w:hAnsi="宋体" w:cs="宋体"/>
                <w:szCs w:val="21"/>
                <w:highlight w:val="none"/>
              </w:rPr>
              <w:t>自卸高度满足</w:t>
            </w:r>
            <w:r>
              <w:rPr>
                <w:rFonts w:ascii="宋体" w:hAnsi="宋体" w:cs="宋体"/>
                <w:szCs w:val="21"/>
                <w:highlight w:val="none"/>
              </w:rPr>
              <w:t>1000mm</w:t>
            </w:r>
            <w:r>
              <w:rPr>
                <w:rFonts w:hint="eastAsia" w:ascii="宋体" w:hAnsi="宋体" w:cs="宋体"/>
                <w:szCs w:val="21"/>
                <w:highlight w:val="none"/>
              </w:rPr>
              <w:t>≤自卸高度≤</w:t>
            </w:r>
            <w:r>
              <w:rPr>
                <w:rFonts w:ascii="宋体" w:hAnsi="宋体" w:cs="宋体"/>
                <w:szCs w:val="21"/>
                <w:highlight w:val="none"/>
              </w:rPr>
              <w:t>1600mm</w:t>
            </w:r>
            <w:r>
              <w:rPr>
                <w:rFonts w:hint="eastAsia" w:ascii="宋体" w:hAnsi="宋体" w:cs="宋体"/>
                <w:szCs w:val="21"/>
                <w:highlight w:val="none"/>
              </w:rPr>
              <w:t>，以便适应不同车型及不同区域储存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4.2.3</w:t>
            </w:r>
            <w:r>
              <w:rPr>
                <w:rFonts w:hint="eastAsia"/>
                <w:szCs w:val="21"/>
                <w:highlight w:val="none"/>
                <w:lang w:val="en-US" w:eastAsia="zh-CN"/>
              </w:rPr>
              <w:t>5</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cs="宋体"/>
                <w:szCs w:val="21"/>
                <w:highlight w:val="none"/>
              </w:rPr>
              <w:t>雪铲两边安装适当高度</w:t>
            </w:r>
            <w:r>
              <w:rPr>
                <w:rFonts w:ascii="宋体" w:hAnsi="宋体" w:cs="宋体"/>
                <w:szCs w:val="21"/>
                <w:highlight w:val="none"/>
              </w:rPr>
              <w:t>LED</w:t>
            </w:r>
            <w:r>
              <w:rPr>
                <w:rFonts w:hint="eastAsia" w:ascii="宋体" w:hAnsi="宋体" w:cs="宋体"/>
                <w:szCs w:val="21"/>
                <w:highlight w:val="none"/>
              </w:rPr>
              <w:t>工作警示灯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szCs w:val="21"/>
                <w:highlight w:val="none"/>
                <w:lang w:eastAsia="zh-CN"/>
              </w:rPr>
            </w:pPr>
            <w:r>
              <w:rPr>
                <w:rFonts w:hint="eastAsia" w:ascii="宋体" w:hAnsi="宋体"/>
                <w:szCs w:val="21"/>
                <w:highlight w:val="none"/>
              </w:rPr>
              <w:t>4.2.3</w:t>
            </w:r>
            <w:r>
              <w:rPr>
                <w:rFonts w:hint="eastAsia"/>
                <w:szCs w:val="21"/>
                <w:highlight w:val="none"/>
                <w:lang w:val="en-US" w:eastAsia="zh-CN"/>
              </w:rPr>
              <w:t>6</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eastAsia="宋体"/>
                <w:szCs w:val="21"/>
                <w:highlight w:val="none"/>
                <w:lang w:eastAsia="zh-CN"/>
              </w:rPr>
            </w:pPr>
            <w:r>
              <w:rPr>
                <w:rFonts w:hint="eastAsia" w:ascii="宋体" w:hAnsi="宋体" w:cs="宋体"/>
                <w:szCs w:val="21"/>
                <w:highlight w:val="none"/>
              </w:rPr>
              <w:t>撒布机安装适当高度</w:t>
            </w:r>
            <w:r>
              <w:rPr>
                <w:rFonts w:ascii="宋体" w:hAnsi="宋体" w:cs="宋体"/>
                <w:szCs w:val="21"/>
                <w:highlight w:val="none"/>
              </w:rPr>
              <w:t>LED</w:t>
            </w:r>
            <w:r>
              <w:rPr>
                <w:rFonts w:hint="eastAsia" w:ascii="宋体" w:hAnsi="宋体" w:cs="宋体"/>
                <w:szCs w:val="21"/>
                <w:highlight w:val="none"/>
              </w:rPr>
              <w:t>工作指向及警示灯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default" w:ascii="宋体" w:hAnsi="宋体" w:eastAsia="宋体"/>
                <w:szCs w:val="21"/>
                <w:highlight w:val="none"/>
                <w:lang w:val="en-US" w:eastAsia="zh-CN"/>
              </w:rPr>
            </w:pPr>
            <w:r>
              <w:rPr>
                <w:rFonts w:hint="eastAsia" w:ascii="宋体" w:hAnsi="宋体"/>
                <w:szCs w:val="21"/>
                <w:highlight w:val="none"/>
              </w:rPr>
              <w:t>4.2.</w:t>
            </w:r>
            <w:r>
              <w:rPr>
                <w:rFonts w:hint="eastAsia"/>
                <w:szCs w:val="21"/>
                <w:highlight w:val="none"/>
                <w:lang w:val="en-US" w:eastAsia="zh-CN"/>
              </w:rPr>
              <w:t>37</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cs="宋体"/>
                <w:szCs w:val="21"/>
                <w:highlight w:val="none"/>
              </w:rPr>
              <w:t>车身颜色为工程黄色，须安装晚间工作时的车后双向灯，驾驶室内应有收音机等设备，带冷暖空调，座位：≥2；带助力转向装置、随车简易车辆维修工具、轮胎装卸工具、10吨千斤顶、</w:t>
            </w:r>
            <w:r>
              <w:rPr>
                <w:rFonts w:ascii="宋体" w:hAnsi="宋体" w:cs="宋体"/>
                <w:szCs w:val="21"/>
                <w:highlight w:val="none"/>
              </w:rPr>
              <w:t>维护用梯子</w:t>
            </w:r>
            <w:r>
              <w:rPr>
                <w:rFonts w:hint="eastAsia" w:ascii="宋体" w:hAnsi="宋体" w:cs="宋体"/>
                <w:szCs w:val="21"/>
                <w:highlight w:val="none"/>
              </w:rPr>
              <w:t>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default" w:ascii="宋体" w:hAnsi="宋体" w:eastAsia="宋体"/>
                <w:szCs w:val="21"/>
                <w:highlight w:val="none"/>
                <w:lang w:val="en-US" w:eastAsia="zh-CN"/>
              </w:rPr>
            </w:pPr>
            <w:r>
              <w:rPr>
                <w:rFonts w:hint="eastAsia" w:ascii="宋体" w:hAnsi="宋体"/>
                <w:szCs w:val="21"/>
                <w:highlight w:val="none"/>
              </w:rPr>
              <w:t>4.2.</w:t>
            </w:r>
            <w:r>
              <w:rPr>
                <w:rFonts w:hint="eastAsia"/>
                <w:szCs w:val="21"/>
                <w:highlight w:val="none"/>
                <w:lang w:val="en-US" w:eastAsia="zh-CN"/>
              </w:rPr>
              <w:t>38</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ascii="宋体" w:hAnsi="宋体"/>
                <w:szCs w:val="21"/>
                <w:highlight w:val="none"/>
              </w:rPr>
            </w:pPr>
            <w:r>
              <w:rPr>
                <w:rFonts w:hint="eastAsia" w:ascii="宋体" w:hAnsi="宋体" w:cs="宋体"/>
                <w:szCs w:val="21"/>
                <w:highlight w:val="none"/>
              </w:rPr>
              <w:t xml:space="preserve">交货期： </w:t>
            </w:r>
            <w:r>
              <w:rPr>
                <w:rFonts w:hint="eastAsia" w:ascii="宋体" w:hAnsi="宋体" w:cs="宋体"/>
                <w:szCs w:val="21"/>
                <w:highlight w:val="none"/>
                <w:lang w:val="en-US" w:eastAsia="zh-CN"/>
              </w:rPr>
              <w:t>65个工作日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szCs w:val="21"/>
                <w:highlight w:val="none"/>
              </w:rPr>
            </w:pPr>
            <w:r>
              <w:rPr>
                <w:rFonts w:hint="eastAsia" w:ascii="宋体" w:hAnsi="宋体"/>
                <w:szCs w:val="21"/>
                <w:highlight w:val="none"/>
              </w:rPr>
              <w:t>4.2.</w:t>
            </w:r>
            <w:r>
              <w:rPr>
                <w:rFonts w:hint="eastAsia"/>
                <w:szCs w:val="21"/>
                <w:highlight w:val="none"/>
                <w:lang w:val="en-US" w:eastAsia="zh-CN"/>
              </w:rPr>
              <w:t>39</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szCs w:val="21"/>
                <w:highlight w:val="none"/>
              </w:rPr>
            </w:pPr>
            <w:r>
              <w:rPr>
                <w:rFonts w:hint="eastAsia" w:ascii="宋体" w:hAnsi="宋体" w:cs="宋体"/>
                <w:szCs w:val="21"/>
                <w:highlight w:val="none"/>
              </w:rPr>
              <w:t>质保期：</w:t>
            </w:r>
            <w:r>
              <w:rPr>
                <w:rFonts w:hint="eastAsia" w:cs="宋体"/>
                <w:szCs w:val="21"/>
                <w:highlight w:val="none"/>
                <w:lang w:val="en-US" w:eastAsia="zh-CN"/>
              </w:rPr>
              <w:t>24</w:t>
            </w:r>
            <w:r>
              <w:rPr>
                <w:rFonts w:hint="eastAsia" w:ascii="宋体" w:hAnsi="宋体" w:cs="宋体"/>
                <w:szCs w:val="21"/>
                <w:highlight w:val="none"/>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eastAsia" w:ascii="宋体" w:hAnsi="宋体" w:eastAsia="宋体" w:cs="宋体"/>
                <w:sz w:val="22"/>
                <w:szCs w:val="21"/>
                <w:lang w:val="zh-CN" w:eastAsia="zh-CN" w:bidi="zh-CN"/>
              </w:rPr>
            </w:pPr>
            <w:r>
              <w:rPr>
                <w:rFonts w:hint="eastAsia"/>
                <w:szCs w:val="21"/>
                <w:lang w:val="en-US" w:eastAsia="zh-CN"/>
              </w:rPr>
              <w:t>二</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ind w:left="0" w:leftChars="0" w:right="0" w:rightChars="0"/>
              <w:jc w:val="both"/>
              <w:rPr>
                <w:rFonts w:hint="default" w:ascii="宋体" w:hAnsi="宋体" w:eastAsia="宋体" w:cs="宋体"/>
                <w:b/>
                <w:bCs/>
                <w:sz w:val="22"/>
                <w:szCs w:val="21"/>
                <w:lang w:val="en-US" w:eastAsia="zh-CN" w:bidi="zh-CN"/>
              </w:rPr>
            </w:pPr>
            <w:r>
              <w:rPr>
                <w:rFonts w:hint="eastAsia"/>
                <w:b/>
                <w:bCs/>
                <w:szCs w:val="21"/>
                <w:lang w:val="en-US" w:eastAsia="zh-CN"/>
              </w:rPr>
              <w:t>融雪剂撒布机技术参数要求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eastAsia" w:ascii="宋体" w:hAnsi="宋体" w:eastAsia="宋体" w:cs="黑体"/>
                <w:sz w:val="22"/>
                <w:szCs w:val="22"/>
                <w:highlight w:val="none"/>
                <w:lang w:val="zh-CN" w:eastAsia="zh-CN" w:bidi="zh-CN"/>
              </w:rPr>
            </w:pPr>
            <w:r>
              <w:rPr>
                <w:rFonts w:hint="eastAsia" w:ascii="宋体" w:hAnsi="宋体" w:cs="黑体"/>
                <w:highlight w:val="none"/>
              </w:rPr>
              <w:t>1</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ind w:left="0" w:leftChars="0" w:right="0" w:rightChars="0"/>
              <w:jc w:val="both"/>
              <w:rPr>
                <w:rFonts w:hint="eastAsia" w:ascii="宋体" w:hAnsi="宋体" w:eastAsia="宋体" w:cs="黑体"/>
                <w:sz w:val="22"/>
                <w:szCs w:val="22"/>
                <w:highlight w:val="none"/>
                <w:lang w:val="en-US" w:eastAsia="zh-CN" w:bidi="zh-CN"/>
              </w:rPr>
            </w:pPr>
            <w:r>
              <w:rPr>
                <w:rFonts w:hint="eastAsia" w:ascii="宋体" w:hAnsi="宋体" w:cs="黑体"/>
                <w:highlight w:val="none"/>
              </w:rPr>
              <w:t>用途:用于高速公路畅通保障应急养护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eastAsia" w:ascii="宋体" w:hAnsi="宋体" w:eastAsia="宋体" w:cs="黑体"/>
                <w:sz w:val="22"/>
                <w:szCs w:val="22"/>
                <w:highlight w:val="none"/>
                <w:lang w:val="zh-CN" w:eastAsia="zh-CN" w:bidi="zh-CN"/>
              </w:rPr>
            </w:pPr>
            <w:r>
              <w:rPr>
                <w:rFonts w:hint="eastAsia" w:ascii="宋体" w:hAnsi="宋体" w:cs="黑体"/>
                <w:highlight w:val="none"/>
              </w:rPr>
              <w:t>2</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ind w:left="0" w:leftChars="0" w:right="0" w:rightChars="0"/>
              <w:jc w:val="both"/>
              <w:rPr>
                <w:rFonts w:hint="default" w:ascii="宋体" w:hAnsi="宋体" w:eastAsia="宋体" w:cs="黑体"/>
                <w:sz w:val="22"/>
                <w:szCs w:val="22"/>
                <w:highlight w:val="none"/>
                <w:lang w:val="en-US" w:eastAsia="zh-CN" w:bidi="zh-CN"/>
              </w:rPr>
            </w:pPr>
            <w:r>
              <w:rPr>
                <w:rFonts w:hint="eastAsia" w:ascii="宋体" w:hAnsi="宋体" w:cs="黑体"/>
                <w:highlight w:val="none"/>
              </w:rPr>
              <w:t>数量：</w:t>
            </w:r>
            <w:r>
              <w:rPr>
                <w:rFonts w:hint="eastAsia" w:cs="黑体"/>
                <w:highlight w:val="none"/>
                <w:lang w:val="en-US" w:eastAsia="zh-CN"/>
              </w:rPr>
              <w:t xml:space="preserve">1台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eastAsia" w:ascii="宋体" w:hAnsi="宋体" w:eastAsia="宋体" w:cs="黑体"/>
                <w:highlight w:val="none"/>
                <w:lang w:val="en-US" w:eastAsia="zh-CN"/>
              </w:rPr>
            </w:pPr>
            <w:r>
              <w:rPr>
                <w:rFonts w:hint="eastAsia" w:cs="黑体"/>
                <w:highlight w:val="none"/>
                <w:lang w:val="en-US" w:eastAsia="zh-CN"/>
              </w:rPr>
              <w:t>3</w:t>
            </w:r>
          </w:p>
        </w:tc>
        <w:tc>
          <w:tcPr>
            <w:tcW w:w="8620" w:type="dxa"/>
            <w:tcBorders>
              <w:top w:val="single" w:color="auto" w:sz="4" w:space="0"/>
              <w:left w:val="single" w:color="auto" w:sz="4" w:space="0"/>
              <w:bottom w:val="single" w:color="auto" w:sz="4" w:space="0"/>
              <w:right w:val="double" w:color="auto" w:sz="4" w:space="0"/>
            </w:tcBorders>
            <w:vAlign w:val="top"/>
          </w:tcPr>
          <w:p>
            <w:pPr>
              <w:ind w:left="0" w:leftChars="0" w:right="0" w:rightChars="0"/>
              <w:rPr>
                <w:rFonts w:hint="eastAsia" w:ascii="宋体" w:hAnsi="宋体" w:cs="黑体"/>
                <w:highlight w:val="none"/>
              </w:rPr>
            </w:pPr>
            <w:r>
              <w:rPr>
                <w:rFonts w:hint="eastAsia" w:ascii="宋体" w:hAnsi="宋体" w:cs="宋体-18030"/>
                <w:szCs w:val="21"/>
                <w:highlight w:val="none"/>
              </w:rPr>
              <w:t>撒布机整机结构需采用防腐蚀结构设计，</w:t>
            </w:r>
            <w:r>
              <w:rPr>
                <w:rFonts w:ascii="宋体" w:hAnsi="宋体" w:cs="宋体-18030"/>
                <w:szCs w:val="21"/>
                <w:highlight w:val="none"/>
              </w:rPr>
              <w:t>贮料仓内部</w:t>
            </w:r>
            <w:r>
              <w:rPr>
                <w:rFonts w:hint="eastAsia" w:ascii="宋体" w:hAnsi="宋体" w:cs="宋体-18030"/>
                <w:szCs w:val="21"/>
                <w:highlight w:val="none"/>
              </w:rPr>
              <w:t>、撒布系统及外露件须经防腐蚀表面处理</w:t>
            </w:r>
            <w:r>
              <w:rPr>
                <w:rFonts w:ascii="宋体" w:hAnsi="宋体" w:cs="宋体-18030"/>
                <w:szCs w:val="21"/>
                <w:highlight w:val="none"/>
              </w:rPr>
              <w:t>涂有防腐涂层</w:t>
            </w:r>
            <w:r>
              <w:rPr>
                <w:rFonts w:hint="eastAsia" w:ascii="宋体" w:hAnsi="宋体" w:cs="宋体-18030"/>
                <w:szCs w:val="21"/>
                <w:highlight w:val="none"/>
              </w:rPr>
              <w:t>（</w:t>
            </w:r>
            <w:r>
              <w:rPr>
                <w:rFonts w:hint="eastAsia" w:ascii="宋体" w:hAnsi="宋体"/>
                <w:szCs w:val="21"/>
                <w:highlight w:val="none"/>
              </w:rPr>
              <w:t>静电喷涂工艺，表面喷涂需达到SA2.5级别）</w:t>
            </w:r>
            <w:r>
              <w:rPr>
                <w:rFonts w:ascii="宋体" w:hAnsi="宋体" w:cs="宋体-18030"/>
                <w:szCs w:val="21"/>
                <w:highlight w:val="none"/>
              </w:rPr>
              <w:t>，</w:t>
            </w:r>
            <w:r>
              <w:rPr>
                <w:rFonts w:hint="eastAsia" w:ascii="宋体" w:hAnsi="宋体" w:cs="宋体-18030"/>
                <w:szCs w:val="21"/>
                <w:highlight w:val="none"/>
              </w:rPr>
              <w:t>保证与盐类材料长期接触后不锈蚀，</w:t>
            </w:r>
            <w:r>
              <w:rPr>
                <w:rFonts w:hint="eastAsia" w:ascii="宋体" w:hAnsi="宋体"/>
                <w:szCs w:val="21"/>
                <w:highlight w:val="none"/>
              </w:rPr>
              <w:t>耐盐雾腐蚀</w:t>
            </w:r>
            <w:r>
              <w:rPr>
                <w:rFonts w:hint="eastAsia" w:ascii="宋体" w:hAnsi="宋体" w:cs="宋体-18030"/>
                <w:szCs w:val="21"/>
                <w:highlight w:val="none"/>
              </w:rPr>
              <w:t>：≥</w:t>
            </w:r>
            <w:r>
              <w:rPr>
                <w:rFonts w:hint="eastAsia" w:ascii="宋体" w:hAnsi="宋体"/>
                <w:szCs w:val="21"/>
                <w:highlight w:val="none"/>
              </w:rPr>
              <w:t>2000小时</w:t>
            </w:r>
            <w:r>
              <w:rPr>
                <w:rFonts w:hint="eastAsia" w:ascii="宋体" w:hAnsi="宋体" w:cs="宋体-18030"/>
                <w:szCs w:val="21"/>
                <w:highlight w:val="none"/>
              </w:rPr>
              <w:t>（须提供各关键部位材料说明）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ascii="宋体" w:hAnsi="宋体"/>
                <w:szCs w:val="21"/>
                <w:highlight w:val="none"/>
              </w:rPr>
              <w:t>4</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ind w:left="0" w:leftChars="0" w:right="0" w:rightChars="0"/>
              <w:jc w:val="both"/>
              <w:rPr>
                <w:rFonts w:hint="eastAsia" w:ascii="宋体" w:hAnsi="宋体" w:eastAsia="宋体" w:cs="黑体"/>
                <w:sz w:val="22"/>
                <w:szCs w:val="22"/>
                <w:highlight w:val="none"/>
                <w:lang w:val="zh-CN" w:eastAsia="zh-CN" w:bidi="zh-CN"/>
              </w:rPr>
            </w:pPr>
            <w:r>
              <w:rPr>
                <w:rFonts w:hint="eastAsia" w:ascii="宋体" w:hAnsi="宋体"/>
                <w:szCs w:val="21"/>
                <w:highlight w:val="none"/>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both"/>
              <w:rPr>
                <w:rFonts w:hint="eastAsia" w:ascii="宋体" w:hAnsi="宋体" w:eastAsia="宋体" w:cs="宋体"/>
                <w:sz w:val="22"/>
                <w:szCs w:val="21"/>
                <w:highlight w:val="none"/>
                <w:lang w:val="zh-CN" w:eastAsia="zh-CN" w:bidi="zh-CN"/>
              </w:rPr>
            </w:pPr>
            <w:r>
              <w:rPr>
                <w:rFonts w:hint="eastAsia" w:ascii="宋体" w:hAnsi="宋体"/>
                <w:szCs w:val="21"/>
                <w:highlight w:val="none"/>
              </w:rPr>
              <w:t>4.1</w:t>
            </w: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cs="宋体"/>
                <w:sz w:val="22"/>
                <w:szCs w:val="21"/>
                <w:highlight w:val="none"/>
                <w:lang w:val="zh-CN" w:eastAsia="zh-CN" w:bidi="zh-CN"/>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工作场所：室外、露天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ind w:left="0" w:leftChars="0" w:right="0" w:rightChars="0"/>
              <w:jc w:val="center"/>
              <w:rPr>
                <w:rFonts w:hint="eastAsia" w:ascii="宋体" w:hAnsi="宋体" w:eastAsia="宋体" w:cs="宋体"/>
                <w:sz w:val="22"/>
                <w:szCs w:val="21"/>
                <w:highlight w:val="none"/>
                <w:lang w:val="zh-CN" w:eastAsia="zh-CN" w:bidi="zh-CN"/>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环境温度：摄氏-15</w:t>
            </w:r>
            <w:r>
              <w:rPr>
                <w:rFonts w:hint="eastAsia" w:ascii="宋体" w:hAnsi="宋体"/>
                <w:szCs w:val="21"/>
                <w:highlight w:val="none"/>
              </w:rPr>
              <w:t>℃</w:t>
            </w:r>
            <w:r>
              <w:rPr>
                <w:rFonts w:ascii="宋体" w:hAnsi="宋体"/>
                <w:szCs w:val="21"/>
                <w:highlight w:val="none"/>
              </w:rPr>
              <w:t>～45</w:t>
            </w:r>
            <w:r>
              <w:rPr>
                <w:rFonts w:hint="eastAsia" w:ascii="宋体" w:hAnsi="宋体"/>
                <w:szCs w:val="21"/>
                <w:highlight w:val="none"/>
              </w:rPr>
              <w:t>℃</w:t>
            </w:r>
            <w:r>
              <w:rPr>
                <w:rFonts w:ascii="宋体" w:hAnsi="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sz w:val="22"/>
                <w:szCs w:val="21"/>
                <w:highlight w:val="none"/>
                <w:lang w:val="zh-CN" w:eastAsia="zh-CN" w:bidi="zh-CN"/>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现场环境：潮湿，充满灰尘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sz w:val="22"/>
                <w:szCs w:val="21"/>
                <w:highlight w:val="none"/>
                <w:lang w:val="zh-CN" w:eastAsia="zh-CN" w:bidi="zh-CN"/>
              </w:rPr>
            </w:pPr>
          </w:p>
        </w:tc>
        <w:tc>
          <w:tcPr>
            <w:tcW w:w="8620" w:type="dxa"/>
            <w:tcBorders>
              <w:top w:val="single" w:color="auto" w:sz="4" w:space="0"/>
              <w:left w:val="single" w:color="auto" w:sz="4" w:space="0"/>
              <w:bottom w:val="single" w:color="auto" w:sz="4" w:space="0"/>
              <w:right w:val="double" w:color="auto" w:sz="4" w:space="0"/>
            </w:tcBorders>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工作等级：满负荷每天能经受10小时连续工作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ascii="宋体" w:hAnsi="宋体"/>
                <w:szCs w:val="21"/>
                <w:highlight w:val="none"/>
              </w:rPr>
              <w:t>4.2</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ind w:left="0" w:leftChars="0" w:right="0" w:rightChars="0"/>
              <w:jc w:val="both"/>
              <w:rPr>
                <w:rFonts w:hint="eastAsia" w:ascii="宋体" w:hAnsi="宋体" w:eastAsia="宋体" w:cs="黑体"/>
                <w:sz w:val="22"/>
                <w:szCs w:val="22"/>
                <w:highlight w:val="none"/>
                <w:lang w:val="zh-CN" w:eastAsia="zh-CN" w:bidi="zh-CN"/>
              </w:rPr>
            </w:pPr>
            <w:r>
              <w:rPr>
                <w:rFonts w:hint="eastAsia"/>
                <w:szCs w:val="21"/>
                <w:highlight w:val="none"/>
                <w:lang w:val="en-US" w:eastAsia="zh-CN"/>
              </w:rPr>
              <w:t>撒布机</w:t>
            </w:r>
            <w:r>
              <w:rPr>
                <w:rFonts w:hint="eastAsia" w:ascii="宋体" w:hAnsi="宋体"/>
                <w:szCs w:val="21"/>
                <w:highlight w:val="none"/>
              </w:rPr>
              <w:t>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4.2.1</w:t>
            </w:r>
          </w:p>
        </w:tc>
        <w:tc>
          <w:tcPr>
            <w:tcW w:w="8620" w:type="dxa"/>
            <w:tcBorders>
              <w:top w:val="single" w:color="auto" w:sz="4" w:space="0"/>
              <w:left w:val="single" w:color="auto" w:sz="4" w:space="0"/>
              <w:bottom w:val="single" w:color="auto" w:sz="4" w:space="0"/>
              <w:right w:val="double" w:color="auto" w:sz="4" w:space="0"/>
            </w:tcBorders>
            <w:vAlign w:val="top"/>
          </w:tcPr>
          <w:p>
            <w:pPr>
              <w:ind w:left="0" w:leftChars="0" w:right="0" w:rightChars="0"/>
              <w:rPr>
                <w:rFonts w:hint="eastAsia" w:ascii="宋体" w:hAnsi="宋体" w:cs="黑体"/>
                <w:highlight w:val="none"/>
              </w:rPr>
            </w:pPr>
            <w:r>
              <w:rPr>
                <w:rFonts w:hint="eastAsia" w:ascii="宋体" w:hAnsi="宋体" w:cs="宋体-18030"/>
                <w:szCs w:val="21"/>
                <w:highlight w:val="none"/>
              </w:rPr>
              <w:t>*撒布机料仓容量：≥</w:t>
            </w:r>
            <w:r>
              <w:rPr>
                <w:rFonts w:ascii="宋体" w:hAnsi="宋体" w:cs="宋体-18030"/>
                <w:szCs w:val="21"/>
                <w:highlight w:val="none"/>
              </w:rPr>
              <w:t>1</w:t>
            </w:r>
            <w:r>
              <w:rPr>
                <w:rFonts w:hint="eastAsia" w:cs="宋体-18030"/>
                <w:szCs w:val="21"/>
                <w:highlight w:val="none"/>
                <w:lang w:val="en-US" w:eastAsia="zh-CN"/>
              </w:rPr>
              <w:t>0</w:t>
            </w:r>
            <w:r>
              <w:rPr>
                <w:rFonts w:ascii="宋体" w:hAnsi="宋体" w:cs="宋体-18030"/>
                <w:szCs w:val="21"/>
                <w:highlight w:val="none"/>
              </w:rPr>
              <w:t>m</w:t>
            </w:r>
            <w:r>
              <w:rPr>
                <w:rFonts w:hint="eastAsia" w:ascii="宋体" w:hAnsi="宋体" w:cs="宋体-18030"/>
                <w:szCs w:val="21"/>
                <w:highlight w:val="none"/>
              </w:rPr>
              <w:t>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4.2.2</w:t>
            </w:r>
          </w:p>
        </w:tc>
        <w:tc>
          <w:tcPr>
            <w:tcW w:w="8620" w:type="dxa"/>
            <w:tcBorders>
              <w:top w:val="single" w:color="auto" w:sz="4" w:space="0"/>
              <w:left w:val="single" w:color="auto" w:sz="4" w:space="0"/>
              <w:bottom w:val="single" w:color="auto" w:sz="4" w:space="0"/>
              <w:right w:val="double" w:color="auto" w:sz="4" w:space="0"/>
            </w:tcBorders>
            <w:vAlign w:val="top"/>
          </w:tcPr>
          <w:p>
            <w:pPr>
              <w:ind w:left="0" w:leftChars="0" w:right="0" w:rightChars="0"/>
              <w:rPr>
                <w:rFonts w:hint="eastAsia" w:ascii="宋体" w:hAnsi="宋体" w:cs="黑体"/>
                <w:highlight w:val="none"/>
              </w:rPr>
            </w:pPr>
            <w:r>
              <w:rPr>
                <w:rFonts w:hint="eastAsia" w:ascii="宋体" w:hAnsi="宋体" w:cs="宋体-18030"/>
                <w:szCs w:val="21"/>
                <w:highlight w:val="none"/>
              </w:rPr>
              <w:t>撒布机由</w:t>
            </w:r>
            <w:r>
              <w:rPr>
                <w:rFonts w:hint="eastAsia" w:cs="宋体-18030"/>
                <w:szCs w:val="21"/>
                <w:highlight w:val="none"/>
                <w:lang w:val="en-US" w:eastAsia="zh-CN"/>
              </w:rPr>
              <w:t>副发动机输出的动力</w:t>
            </w:r>
            <w:r>
              <w:rPr>
                <w:rFonts w:hint="eastAsia" w:ascii="宋体" w:hAnsi="宋体" w:cs="宋体-18030"/>
                <w:szCs w:val="21"/>
                <w:highlight w:val="none"/>
              </w:rPr>
              <w:t>驱动，具有智能式实时反馈控制并与车速相关联（撒布密度与撒布宽度一旦设定不受车速变化的影响而变化），</w:t>
            </w:r>
            <w:r>
              <w:rPr>
                <w:rFonts w:ascii="宋体" w:hAnsi="宋体" w:cs="宋体-18030"/>
                <w:szCs w:val="21"/>
                <w:highlight w:val="none"/>
              </w:rPr>
              <w:t>撒</w:t>
            </w:r>
            <w:r>
              <w:rPr>
                <w:rFonts w:hint="eastAsia" w:ascii="宋体" w:hAnsi="宋体" w:cs="宋体-18030"/>
                <w:szCs w:val="21"/>
                <w:highlight w:val="none"/>
              </w:rPr>
              <w:t>盐或</w:t>
            </w:r>
            <w:r>
              <w:rPr>
                <w:rFonts w:hint="eastAsia" w:ascii="宋体" w:hAnsi="宋体"/>
                <w:szCs w:val="21"/>
                <w:highlight w:val="none"/>
              </w:rPr>
              <w:t>撒砂</w:t>
            </w:r>
            <w:r>
              <w:rPr>
                <w:rFonts w:ascii="宋体" w:hAnsi="宋体" w:cs="宋体-18030"/>
                <w:szCs w:val="21"/>
                <w:highlight w:val="none"/>
              </w:rPr>
              <w:t>量</w:t>
            </w:r>
            <w:r>
              <w:rPr>
                <w:rFonts w:hint="eastAsia" w:ascii="宋体" w:hAnsi="宋体" w:cs="宋体-18030"/>
                <w:szCs w:val="21"/>
                <w:highlight w:val="none"/>
              </w:rPr>
              <w:t>：30</w:t>
            </w:r>
            <w:r>
              <w:rPr>
                <w:szCs w:val="21"/>
                <w:highlight w:val="none"/>
              </w:rPr>
              <w:t>～</w:t>
            </w:r>
            <w:r>
              <w:rPr>
                <w:rFonts w:hint="eastAsia" w:ascii="宋体" w:hAnsi="宋体"/>
                <w:szCs w:val="21"/>
                <w:highlight w:val="none"/>
              </w:rPr>
              <w:t>300g/m³</w:t>
            </w:r>
            <w:r>
              <w:rPr>
                <w:rFonts w:hint="eastAsia" w:ascii="宋体" w:hAnsi="宋体" w:cs="宋体-18030"/>
                <w:szCs w:val="21"/>
                <w:highlight w:val="none"/>
              </w:rPr>
              <w:t xml:space="preserve"> 或10</w:t>
            </w:r>
            <w:r>
              <w:rPr>
                <w:szCs w:val="21"/>
                <w:highlight w:val="none"/>
              </w:rPr>
              <w:t>～</w:t>
            </w:r>
            <w:r>
              <w:rPr>
                <w:rFonts w:hint="eastAsia" w:ascii="宋体" w:hAnsi="宋体" w:cs="宋体-18030"/>
                <w:szCs w:val="21"/>
                <w:highlight w:val="none"/>
              </w:rPr>
              <w:t>70</w:t>
            </w:r>
            <w:r>
              <w:rPr>
                <w:szCs w:val="21"/>
                <w:highlight w:val="none"/>
              </w:rPr>
              <w:t xml:space="preserve"> g/m</w:t>
            </w:r>
            <w:r>
              <w:rPr>
                <w:szCs w:val="21"/>
                <w:highlight w:val="none"/>
                <w:vertAlign w:val="superscript"/>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4.2.3</w:t>
            </w:r>
          </w:p>
        </w:tc>
        <w:tc>
          <w:tcPr>
            <w:tcW w:w="8620" w:type="dxa"/>
            <w:tcBorders>
              <w:top w:val="single" w:color="auto" w:sz="4" w:space="0"/>
              <w:left w:val="single" w:color="auto" w:sz="4" w:space="0"/>
              <w:bottom w:val="single" w:color="auto" w:sz="4" w:space="0"/>
              <w:right w:val="double" w:color="auto" w:sz="4" w:space="0"/>
            </w:tcBorders>
            <w:vAlign w:val="top"/>
          </w:tcPr>
          <w:p>
            <w:pPr>
              <w:ind w:left="0" w:leftChars="0" w:right="0" w:rightChars="0"/>
              <w:rPr>
                <w:rFonts w:hint="eastAsia" w:ascii="宋体" w:hAnsi="宋体" w:cs="黑体"/>
                <w:highlight w:val="none"/>
              </w:rPr>
            </w:pPr>
            <w:r>
              <w:rPr>
                <w:rFonts w:hint="eastAsia" w:ascii="宋体" w:hAnsi="宋体" w:cs="宋体-18030"/>
                <w:szCs w:val="21"/>
                <w:highlight w:val="none"/>
              </w:rPr>
              <w:t>撒布机应具有左右对称、单左方向、单右方向撒布三种撒布模式，</w:t>
            </w:r>
            <w:r>
              <w:rPr>
                <w:rFonts w:ascii="宋体" w:hAnsi="宋体" w:cs="宋体-18030"/>
                <w:szCs w:val="21"/>
                <w:highlight w:val="none"/>
              </w:rPr>
              <w:t>撒布宽度</w:t>
            </w:r>
            <w:r>
              <w:rPr>
                <w:rFonts w:hint="eastAsia" w:ascii="宋体" w:hAnsi="宋体" w:cs="宋体-18030"/>
                <w:szCs w:val="21"/>
                <w:highlight w:val="none"/>
              </w:rPr>
              <w:t>：3</w:t>
            </w:r>
            <w:r>
              <w:rPr>
                <w:rFonts w:ascii="宋体" w:hAnsi="宋体" w:cs="宋体-18030"/>
                <w:szCs w:val="21"/>
                <w:highlight w:val="none"/>
              </w:rPr>
              <w:t>-</w:t>
            </w:r>
            <w:r>
              <w:rPr>
                <w:rFonts w:hint="eastAsia" w:ascii="宋体" w:hAnsi="宋体" w:cs="宋体-18030"/>
                <w:szCs w:val="21"/>
                <w:highlight w:val="none"/>
              </w:rPr>
              <w:t>10</w:t>
            </w:r>
            <w:r>
              <w:rPr>
                <w:rFonts w:ascii="宋体" w:hAnsi="宋体" w:cs="宋体-18030"/>
                <w:szCs w:val="21"/>
                <w:highlight w:val="none"/>
              </w:rPr>
              <w:t>m</w:t>
            </w:r>
            <w:r>
              <w:rPr>
                <w:rFonts w:hint="eastAsia" w:ascii="宋体" w:hAnsi="宋体" w:cs="宋体-18030"/>
                <w:szCs w:val="21"/>
                <w:highlight w:val="none"/>
              </w:rPr>
              <w:t>之间任意可调，可实现左侧或右侧的单侧撒布，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4.2.4</w:t>
            </w:r>
          </w:p>
        </w:tc>
        <w:tc>
          <w:tcPr>
            <w:tcW w:w="8620" w:type="dxa"/>
            <w:tcBorders>
              <w:top w:val="single" w:color="auto" w:sz="4" w:space="0"/>
              <w:left w:val="single" w:color="auto" w:sz="4" w:space="0"/>
              <w:bottom w:val="single" w:color="auto" w:sz="4" w:space="0"/>
              <w:right w:val="double" w:color="auto" w:sz="4" w:space="0"/>
            </w:tcBorders>
            <w:vAlign w:val="top"/>
          </w:tcPr>
          <w:p>
            <w:pPr>
              <w:ind w:left="0" w:leftChars="0" w:right="0" w:rightChars="0"/>
              <w:rPr>
                <w:rFonts w:hint="eastAsia" w:ascii="宋体" w:hAnsi="宋体" w:eastAsia="宋体" w:cs="黑体"/>
                <w:highlight w:val="none"/>
                <w:lang w:eastAsia="zh-CN"/>
              </w:rPr>
            </w:pPr>
            <w:r>
              <w:rPr>
                <w:rFonts w:hint="eastAsia" w:ascii="宋体" w:hAnsi="宋体" w:cs="宋体-18030"/>
                <w:szCs w:val="21"/>
                <w:highlight w:val="none"/>
              </w:rPr>
              <w:t>最大撒布作业速度：≥4</w:t>
            </w:r>
            <w:r>
              <w:rPr>
                <w:rFonts w:ascii="宋体" w:hAnsi="宋体" w:cs="宋体-18030"/>
                <w:szCs w:val="21"/>
                <w:highlight w:val="none"/>
              </w:rPr>
              <w:t>0km/h</w:t>
            </w:r>
            <w:r>
              <w:rPr>
                <w:rFonts w:hint="eastAsia" w:ascii="宋体" w:hAnsi="宋体" w:cs="宋体-18030"/>
                <w:szCs w:val="21"/>
                <w:highlight w:val="none"/>
              </w:rPr>
              <w:t>，在驾驶室内控制，可随时对撒布机启动及关闭、撒布量大小、撒盐盘（拨料器）转速等进行任意调节</w:t>
            </w:r>
            <w:r>
              <w:rPr>
                <w:rFonts w:hint="eastAsia" w:cs="宋体-18030"/>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4.2.5</w:t>
            </w:r>
          </w:p>
        </w:tc>
        <w:tc>
          <w:tcPr>
            <w:tcW w:w="8620" w:type="dxa"/>
            <w:tcBorders>
              <w:top w:val="single" w:color="auto" w:sz="4" w:space="0"/>
              <w:left w:val="single" w:color="auto" w:sz="4" w:space="0"/>
              <w:bottom w:val="single" w:color="auto" w:sz="4" w:space="0"/>
              <w:right w:val="double" w:color="auto" w:sz="4" w:space="0"/>
            </w:tcBorders>
            <w:vAlign w:val="top"/>
          </w:tcPr>
          <w:p>
            <w:pPr>
              <w:spacing w:line="280" w:lineRule="exact"/>
              <w:ind w:left="0" w:leftChars="0" w:right="0" w:rightChars="0"/>
              <w:rPr>
                <w:rFonts w:hint="eastAsia" w:ascii="宋体" w:hAnsi="宋体" w:cs="黑体"/>
                <w:highlight w:val="none"/>
              </w:rPr>
            </w:pPr>
            <w:r>
              <w:rPr>
                <w:rFonts w:hint="eastAsia" w:ascii="宋体" w:hAnsi="宋体"/>
                <w:szCs w:val="21"/>
                <w:highlight w:val="none"/>
              </w:rPr>
              <w:t>撒布机出料口高度高低可调，调节档位：≥4档，以适应不同车型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4.2.6</w:t>
            </w:r>
          </w:p>
        </w:tc>
        <w:tc>
          <w:tcPr>
            <w:tcW w:w="8620" w:type="dxa"/>
            <w:tcBorders>
              <w:top w:val="single" w:color="auto" w:sz="4" w:space="0"/>
              <w:left w:val="single" w:color="auto" w:sz="4" w:space="0"/>
              <w:bottom w:val="single" w:color="auto" w:sz="4" w:space="0"/>
              <w:right w:val="double" w:color="auto" w:sz="4" w:space="0"/>
            </w:tcBorders>
            <w:vAlign w:val="top"/>
          </w:tcPr>
          <w:p>
            <w:pPr>
              <w:spacing w:line="280" w:lineRule="exact"/>
              <w:ind w:left="0" w:leftChars="0" w:right="0" w:rightChars="0"/>
              <w:rPr>
                <w:rFonts w:hint="eastAsia" w:ascii="宋体" w:hAnsi="宋体" w:cs="黑体"/>
                <w:highlight w:val="none"/>
              </w:rPr>
            </w:pPr>
            <w:r>
              <w:rPr>
                <w:rFonts w:hint="eastAsia" w:ascii="宋体" w:hAnsi="宋体"/>
                <w:szCs w:val="21"/>
                <w:highlight w:val="none"/>
              </w:rPr>
              <w:t>撒布机出料槽高度可任意调节，以方便板结融雪物料清除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4.2.7</w:t>
            </w:r>
          </w:p>
        </w:tc>
        <w:tc>
          <w:tcPr>
            <w:tcW w:w="8620" w:type="dxa"/>
            <w:tcBorders>
              <w:top w:val="single" w:color="auto" w:sz="4" w:space="0"/>
              <w:left w:val="single" w:color="auto" w:sz="4" w:space="0"/>
              <w:bottom w:val="single" w:color="auto" w:sz="4" w:space="0"/>
              <w:right w:val="double" w:color="auto" w:sz="4" w:space="0"/>
            </w:tcBorders>
            <w:vAlign w:val="top"/>
          </w:tcPr>
          <w:p>
            <w:pPr>
              <w:spacing w:line="280" w:lineRule="exact"/>
              <w:ind w:left="0" w:leftChars="0" w:right="0" w:rightChars="0"/>
              <w:rPr>
                <w:rFonts w:hint="eastAsia" w:ascii="宋体" w:hAnsi="宋体" w:cs="黑体"/>
                <w:highlight w:val="none"/>
              </w:rPr>
            </w:pPr>
            <w:r>
              <w:rPr>
                <w:rFonts w:hint="eastAsia" w:ascii="宋体" w:hAnsi="宋体"/>
                <w:szCs w:val="21"/>
                <w:highlight w:val="none"/>
              </w:rPr>
              <w:t>撒布机应可实现不经撒布盘，可方便卸除撒布机内剩余融雪剂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4.2.8</w:t>
            </w:r>
          </w:p>
        </w:tc>
        <w:tc>
          <w:tcPr>
            <w:tcW w:w="8620" w:type="dxa"/>
            <w:tcBorders>
              <w:top w:val="single" w:color="auto" w:sz="4" w:space="0"/>
              <w:left w:val="single" w:color="auto" w:sz="4" w:space="0"/>
              <w:bottom w:val="single" w:color="auto" w:sz="4" w:space="0"/>
              <w:right w:val="double" w:color="auto" w:sz="4" w:space="0"/>
            </w:tcBorders>
            <w:vAlign w:val="top"/>
          </w:tcPr>
          <w:p>
            <w:pPr>
              <w:spacing w:line="280" w:lineRule="exact"/>
              <w:ind w:left="0" w:leftChars="0" w:right="0" w:rightChars="0"/>
              <w:rPr>
                <w:rFonts w:hint="eastAsia" w:ascii="宋体" w:hAnsi="宋体" w:cs="黑体"/>
                <w:highlight w:val="none"/>
              </w:rPr>
            </w:pPr>
            <w:r>
              <w:rPr>
                <w:rFonts w:hint="eastAsia" w:ascii="宋体" w:hAnsi="宋体"/>
                <w:szCs w:val="21"/>
                <w:highlight w:val="none"/>
              </w:rPr>
              <w:t>*钢制履带式或皮带式输料器，坚固耐用抗腐蚀性优良，履带有效宽度：≥</w:t>
            </w:r>
            <w:r>
              <w:rPr>
                <w:rFonts w:ascii="宋体" w:hAnsi="宋体"/>
                <w:szCs w:val="21"/>
                <w:highlight w:val="none"/>
              </w:rPr>
              <w:t>450mm</w:t>
            </w:r>
            <w:r>
              <w:rPr>
                <w:rFonts w:hint="eastAsia" w:ascii="宋体" w:hAnsi="宋体"/>
                <w:szCs w:val="21"/>
                <w:highlight w:val="none"/>
              </w:rPr>
              <w:t>，液压泵带动液压变速箱，驱动输料器，能避免打滑、丢转产生的漏撒、撒布不均匀等现象，还具有对物料的削切功能，</w:t>
            </w:r>
            <w:r>
              <w:rPr>
                <w:rFonts w:hint="eastAsia" w:ascii="宋体" w:hAnsi="宋体"/>
                <w:bCs/>
                <w:szCs w:val="21"/>
                <w:highlight w:val="none"/>
              </w:rPr>
              <w:t>削切</w:t>
            </w:r>
            <w:r>
              <w:rPr>
                <w:rFonts w:hint="eastAsia" w:ascii="宋体" w:hAnsi="宋体"/>
                <w:szCs w:val="21"/>
                <w:highlight w:val="none"/>
              </w:rPr>
              <w:t>板结且体积较大的物料，以保障出料口不出现堵塞</w:t>
            </w:r>
            <w:r>
              <w:rPr>
                <w:rFonts w:hint="eastAsia" w:ascii="宋体" w:hAnsi="宋体" w:cs="宋体-18030"/>
                <w:szCs w:val="21"/>
                <w:highlight w:val="none"/>
              </w:rPr>
              <w:t>（须在投标文件中提供该装置带图片的详细说明）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4.2.9</w:t>
            </w:r>
          </w:p>
        </w:tc>
        <w:tc>
          <w:tcPr>
            <w:tcW w:w="8620" w:type="dxa"/>
            <w:tcBorders>
              <w:top w:val="single" w:color="auto" w:sz="4" w:space="0"/>
              <w:left w:val="single" w:color="auto" w:sz="4" w:space="0"/>
              <w:bottom w:val="single" w:color="auto" w:sz="4" w:space="0"/>
              <w:right w:val="double" w:color="auto" w:sz="4" w:space="0"/>
            </w:tcBorders>
            <w:vAlign w:val="top"/>
          </w:tcPr>
          <w:p>
            <w:pPr>
              <w:spacing w:line="280" w:lineRule="exact"/>
              <w:ind w:left="0" w:leftChars="0" w:right="0" w:rightChars="0"/>
              <w:rPr>
                <w:rFonts w:hint="eastAsia" w:ascii="宋体" w:hAnsi="宋体" w:cs="黑体"/>
                <w:highlight w:val="none"/>
              </w:rPr>
            </w:pPr>
            <w:r>
              <w:rPr>
                <w:rFonts w:hint="eastAsia" w:ascii="宋体" w:hAnsi="宋体"/>
                <w:szCs w:val="21"/>
                <w:highlight w:val="none"/>
              </w:rPr>
              <w:t>防雨布具备手动启闭防雨篷布的装置，带张紧器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4.2.10</w:t>
            </w:r>
          </w:p>
        </w:tc>
        <w:tc>
          <w:tcPr>
            <w:tcW w:w="8620" w:type="dxa"/>
            <w:tcBorders>
              <w:top w:val="single" w:color="auto" w:sz="4" w:space="0"/>
              <w:left w:val="single" w:color="auto" w:sz="4" w:space="0"/>
              <w:bottom w:val="single" w:color="auto" w:sz="4" w:space="0"/>
              <w:right w:val="double" w:color="auto" w:sz="4" w:space="0"/>
            </w:tcBorders>
            <w:vAlign w:val="top"/>
          </w:tcPr>
          <w:p>
            <w:pPr>
              <w:spacing w:line="280" w:lineRule="exact"/>
              <w:ind w:left="0" w:leftChars="0" w:right="0" w:rightChars="0"/>
              <w:rPr>
                <w:rFonts w:hint="eastAsia" w:ascii="宋体" w:hAnsi="宋体" w:cs="黑体"/>
                <w:highlight w:val="none"/>
              </w:rPr>
            </w:pPr>
            <w:r>
              <w:rPr>
                <w:rFonts w:hint="eastAsia" w:ascii="宋体" w:hAnsi="宋体"/>
                <w:szCs w:val="21"/>
                <w:highlight w:val="none"/>
              </w:rPr>
              <w:t>履带上方设有倒</w:t>
            </w:r>
            <w:r>
              <w:rPr>
                <w:rFonts w:ascii="宋体" w:hAnsi="宋体"/>
                <w:szCs w:val="21"/>
                <w:highlight w:val="none"/>
              </w:rPr>
              <w:t>V</w:t>
            </w:r>
            <w:r>
              <w:rPr>
                <w:rFonts w:hint="eastAsia" w:ascii="宋体" w:hAnsi="宋体"/>
                <w:szCs w:val="21"/>
                <w:highlight w:val="none"/>
              </w:rPr>
              <w:t>形防堵塞隔板，减少融雪剂对输料器（履带）的压力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4.2.11</w:t>
            </w:r>
          </w:p>
        </w:tc>
        <w:tc>
          <w:tcPr>
            <w:tcW w:w="8620" w:type="dxa"/>
            <w:tcBorders>
              <w:top w:val="single" w:color="auto" w:sz="4" w:space="0"/>
              <w:left w:val="single" w:color="auto" w:sz="4" w:space="0"/>
              <w:bottom w:val="single" w:color="auto" w:sz="4" w:space="0"/>
              <w:right w:val="double" w:color="auto" w:sz="4" w:space="0"/>
            </w:tcBorders>
            <w:vAlign w:val="top"/>
          </w:tcPr>
          <w:p>
            <w:pPr>
              <w:spacing w:line="280" w:lineRule="exact"/>
              <w:ind w:left="0" w:leftChars="0" w:right="0" w:rightChars="0"/>
              <w:rPr>
                <w:rFonts w:hint="eastAsia" w:ascii="宋体" w:hAnsi="宋体" w:cs="黑体"/>
                <w:highlight w:val="none"/>
              </w:rPr>
            </w:pPr>
            <w:r>
              <w:rPr>
                <w:rFonts w:hint="eastAsia" w:ascii="宋体" w:hAnsi="宋体"/>
                <w:szCs w:val="21"/>
                <w:highlight w:val="none"/>
              </w:rPr>
              <w:t>撒布机出料槽及拨盘装卸，能方便拆卸、安装，可实现输料器的单独运转，便于清空箱体内剩余融雪剂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4.2.12</w:t>
            </w:r>
          </w:p>
        </w:tc>
        <w:tc>
          <w:tcPr>
            <w:tcW w:w="8620" w:type="dxa"/>
            <w:tcBorders>
              <w:top w:val="single" w:color="auto" w:sz="4" w:space="0"/>
              <w:left w:val="single" w:color="auto" w:sz="4" w:space="0"/>
              <w:bottom w:val="single" w:color="auto" w:sz="4" w:space="0"/>
              <w:right w:val="double" w:color="auto" w:sz="4" w:space="0"/>
            </w:tcBorders>
            <w:vAlign w:val="top"/>
          </w:tcPr>
          <w:p>
            <w:pPr>
              <w:ind w:left="0" w:leftChars="0" w:right="0" w:rightChars="0"/>
              <w:rPr>
                <w:rFonts w:hint="eastAsia" w:ascii="宋体" w:hAnsi="宋体" w:cs="黑体"/>
                <w:highlight w:val="none"/>
              </w:rPr>
            </w:pPr>
            <w:r>
              <w:rPr>
                <w:rFonts w:hint="eastAsia" w:ascii="宋体" w:hAnsi="宋体" w:cs="宋体"/>
                <w:szCs w:val="21"/>
                <w:highlight w:val="none"/>
              </w:rPr>
              <w:t>千斤顶式自卸支腿</w:t>
            </w:r>
            <w:r>
              <w:rPr>
                <w:rFonts w:hint="eastAsia" w:ascii="宋体" w:hAnsi="宋体" w:eastAsia="仿宋_GB2312"/>
                <w:kern w:val="0"/>
                <w:szCs w:val="21"/>
                <w:highlight w:val="none"/>
              </w:rPr>
              <w:t>，</w:t>
            </w:r>
            <w:r>
              <w:rPr>
                <w:rFonts w:hint="eastAsia" w:ascii="宋体" w:hAnsi="宋体" w:cs="宋体"/>
                <w:szCs w:val="21"/>
                <w:highlight w:val="none"/>
              </w:rPr>
              <w:t>自卸高度满足</w:t>
            </w:r>
            <w:r>
              <w:rPr>
                <w:rFonts w:ascii="宋体" w:hAnsi="宋体" w:cs="宋体"/>
                <w:szCs w:val="21"/>
                <w:highlight w:val="none"/>
              </w:rPr>
              <w:t>1000mm</w:t>
            </w:r>
            <w:r>
              <w:rPr>
                <w:rFonts w:hint="eastAsia" w:ascii="宋体" w:hAnsi="宋体" w:cs="宋体"/>
                <w:szCs w:val="21"/>
                <w:highlight w:val="none"/>
              </w:rPr>
              <w:t>≤自卸高度≤</w:t>
            </w:r>
            <w:r>
              <w:rPr>
                <w:rFonts w:ascii="宋体" w:hAnsi="宋体" w:cs="宋体"/>
                <w:szCs w:val="21"/>
                <w:highlight w:val="none"/>
              </w:rPr>
              <w:t>1600mm</w:t>
            </w:r>
            <w:r>
              <w:rPr>
                <w:rFonts w:hint="eastAsia" w:ascii="宋体" w:hAnsi="宋体" w:cs="宋体"/>
                <w:szCs w:val="21"/>
                <w:highlight w:val="none"/>
              </w:rPr>
              <w:t>，以便适应不同车型及不同区域储存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4.2.13</w:t>
            </w:r>
          </w:p>
        </w:tc>
        <w:tc>
          <w:tcPr>
            <w:tcW w:w="8620" w:type="dxa"/>
            <w:tcBorders>
              <w:top w:val="single" w:color="auto" w:sz="4" w:space="0"/>
              <w:left w:val="single" w:color="auto" w:sz="4" w:space="0"/>
              <w:bottom w:val="single" w:color="auto" w:sz="4" w:space="0"/>
              <w:right w:val="double" w:color="auto" w:sz="4" w:space="0"/>
            </w:tcBorders>
            <w:vAlign w:val="top"/>
          </w:tcPr>
          <w:p>
            <w:pPr>
              <w:ind w:left="0" w:leftChars="0" w:right="0" w:rightChars="0"/>
              <w:rPr>
                <w:rFonts w:hint="eastAsia" w:ascii="宋体" w:hAnsi="宋体" w:cs="黑体"/>
                <w:highlight w:val="none"/>
              </w:rPr>
            </w:pPr>
            <w:r>
              <w:rPr>
                <w:rFonts w:hint="eastAsia" w:ascii="宋体" w:hAnsi="宋体" w:cs="宋体"/>
                <w:szCs w:val="21"/>
                <w:highlight w:val="none"/>
              </w:rPr>
              <w:t>撒布机安装适当高度</w:t>
            </w:r>
            <w:r>
              <w:rPr>
                <w:rFonts w:ascii="宋体" w:hAnsi="宋体" w:cs="宋体"/>
                <w:szCs w:val="21"/>
                <w:highlight w:val="none"/>
              </w:rPr>
              <w:t>LED</w:t>
            </w:r>
            <w:r>
              <w:rPr>
                <w:rFonts w:hint="eastAsia" w:ascii="宋体" w:hAnsi="宋体" w:cs="宋体"/>
                <w:szCs w:val="21"/>
                <w:highlight w:val="none"/>
              </w:rPr>
              <w:t>工作指向及警示灯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4.2.14</w:t>
            </w:r>
          </w:p>
        </w:tc>
        <w:tc>
          <w:tcPr>
            <w:tcW w:w="8620" w:type="dxa"/>
            <w:tcBorders>
              <w:top w:val="single" w:color="auto" w:sz="4" w:space="0"/>
              <w:left w:val="single" w:color="auto" w:sz="4" w:space="0"/>
              <w:bottom w:val="single" w:color="auto" w:sz="4" w:space="0"/>
              <w:right w:val="double" w:color="auto" w:sz="4" w:space="0"/>
            </w:tcBorders>
            <w:vAlign w:val="top"/>
          </w:tcPr>
          <w:p>
            <w:pPr>
              <w:ind w:left="0" w:leftChars="0" w:right="0" w:rightChars="0"/>
              <w:rPr>
                <w:rFonts w:hint="eastAsia" w:ascii="宋体" w:hAnsi="宋体" w:cs="黑体"/>
                <w:highlight w:val="none"/>
              </w:rPr>
            </w:pPr>
            <w:r>
              <w:rPr>
                <w:rFonts w:hint="eastAsia" w:cs="宋体"/>
                <w:szCs w:val="21"/>
                <w:highlight w:val="none"/>
                <w:lang w:val="en-US" w:eastAsia="zh-CN"/>
              </w:rPr>
              <w:t>整体</w:t>
            </w:r>
            <w:r>
              <w:rPr>
                <w:rFonts w:hint="eastAsia" w:ascii="宋体" w:hAnsi="宋体" w:cs="宋体"/>
                <w:szCs w:val="21"/>
                <w:highlight w:val="none"/>
              </w:rPr>
              <w:t>颜色为工程黄色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4.2.15</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cs="黑体"/>
                <w:highlight w:val="none"/>
              </w:rPr>
            </w:pPr>
            <w:r>
              <w:rPr>
                <w:rFonts w:hint="eastAsia" w:ascii="宋体" w:hAnsi="宋体" w:cs="宋体"/>
                <w:szCs w:val="21"/>
                <w:highlight w:val="none"/>
              </w:rPr>
              <w:t>交货期：</w:t>
            </w:r>
            <w:r>
              <w:rPr>
                <w:rFonts w:hint="eastAsia" w:ascii="宋体" w:hAnsi="宋体" w:cs="宋体"/>
                <w:szCs w:val="21"/>
                <w:highlight w:val="none"/>
                <w:lang w:val="en-US" w:eastAsia="zh-CN"/>
              </w:rPr>
              <w:t>65个工作日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vAlign w:val="center"/>
          </w:tcPr>
          <w:p>
            <w:pPr>
              <w:adjustRightInd w:val="0"/>
              <w:snapToGrid w:val="0"/>
              <w:ind w:left="0" w:leftChars="0" w:right="0" w:rightChars="0"/>
              <w:jc w:val="both"/>
              <w:rPr>
                <w:rFonts w:hint="default" w:ascii="宋体" w:hAnsi="宋体" w:eastAsia="宋体" w:cs="黑体"/>
                <w:highlight w:val="none"/>
                <w:lang w:val="en-US" w:eastAsia="zh-CN"/>
              </w:rPr>
            </w:pPr>
            <w:r>
              <w:rPr>
                <w:rFonts w:hint="eastAsia" w:cs="黑体"/>
                <w:highlight w:val="none"/>
                <w:lang w:val="en-US" w:eastAsia="zh-CN"/>
              </w:rPr>
              <w:t>4.2.16</w:t>
            </w:r>
          </w:p>
        </w:tc>
        <w:tc>
          <w:tcPr>
            <w:tcW w:w="8620" w:type="dxa"/>
            <w:tcBorders>
              <w:top w:val="single" w:color="auto" w:sz="4" w:space="0"/>
              <w:left w:val="single" w:color="auto" w:sz="4" w:space="0"/>
              <w:bottom w:val="single" w:color="auto" w:sz="4" w:space="0"/>
              <w:right w:val="double" w:color="auto" w:sz="4" w:space="0"/>
            </w:tcBorders>
            <w:vAlign w:val="center"/>
          </w:tcPr>
          <w:p>
            <w:pPr>
              <w:ind w:left="0" w:leftChars="0" w:right="0" w:rightChars="0"/>
              <w:jc w:val="both"/>
              <w:rPr>
                <w:rFonts w:hint="eastAsia" w:ascii="宋体" w:hAnsi="宋体" w:cs="黑体"/>
                <w:highlight w:val="none"/>
              </w:rPr>
            </w:pPr>
            <w:r>
              <w:rPr>
                <w:rFonts w:hint="eastAsia" w:ascii="宋体" w:hAnsi="宋体" w:cs="宋体"/>
                <w:szCs w:val="21"/>
                <w:highlight w:val="none"/>
              </w:rPr>
              <w:t>质保期：</w:t>
            </w:r>
            <w:r>
              <w:rPr>
                <w:rFonts w:hint="eastAsia" w:cs="宋体"/>
                <w:szCs w:val="21"/>
                <w:highlight w:val="none"/>
                <w:lang w:val="en-US" w:eastAsia="zh-CN"/>
              </w:rPr>
              <w:t>24</w:t>
            </w:r>
            <w:r>
              <w:rPr>
                <w:rFonts w:hint="eastAsia" w:ascii="宋体" w:hAnsi="宋体" w:cs="宋体"/>
                <w:szCs w:val="21"/>
                <w:highlight w:val="none"/>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1"/>
                <w:highlight w:val="none"/>
                <w:lang w:val="en-US" w:eastAsia="zh-CN" w:bidi="zh-CN"/>
              </w:rPr>
            </w:pPr>
            <w:r>
              <w:rPr>
                <w:rFonts w:hint="eastAsia" w:cs="宋体"/>
                <w:sz w:val="22"/>
                <w:szCs w:val="21"/>
                <w:highlight w:val="none"/>
                <w:lang w:val="en-US" w:eastAsia="zh-CN" w:bidi="zh-CN"/>
              </w:rPr>
              <w:t>三</w:t>
            </w:r>
          </w:p>
        </w:tc>
        <w:tc>
          <w:tcPr>
            <w:tcW w:w="8620" w:type="dxa"/>
            <w:vAlign w:val="center"/>
          </w:tcPr>
          <w:p>
            <w:pPr>
              <w:adjustRightInd w:val="0"/>
              <w:snapToGrid w:val="0"/>
              <w:ind w:left="0" w:leftChars="0" w:right="0" w:rightChars="0"/>
              <w:jc w:val="both"/>
              <w:rPr>
                <w:rFonts w:hint="eastAsia" w:ascii="宋体" w:hAnsi="宋体" w:eastAsia="宋体" w:cs="宋体"/>
                <w:b/>
                <w:bCs/>
                <w:sz w:val="22"/>
                <w:szCs w:val="21"/>
                <w:highlight w:val="none"/>
                <w:lang w:val="en-US" w:eastAsia="zh-CN" w:bidi="zh-CN"/>
              </w:rPr>
            </w:pPr>
            <w:r>
              <w:rPr>
                <w:rFonts w:hint="eastAsia"/>
                <w:b/>
                <w:bCs/>
                <w:szCs w:val="21"/>
                <w:highlight w:val="none"/>
                <w:lang w:val="en-US" w:eastAsia="zh-CN"/>
              </w:rPr>
              <w:t>除雪铲技术参数要求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1"/>
                <w:highlight w:val="none"/>
                <w:lang w:val="en-US" w:eastAsia="zh-CN" w:bidi="zh-CN"/>
              </w:rPr>
            </w:pPr>
            <w:r>
              <w:rPr>
                <w:rFonts w:hint="eastAsia"/>
                <w:highlight w:val="none"/>
              </w:rPr>
              <w:t>1</w:t>
            </w:r>
          </w:p>
        </w:tc>
        <w:tc>
          <w:tcPr>
            <w:tcW w:w="8620" w:type="dxa"/>
            <w:vAlign w:val="center"/>
          </w:tcPr>
          <w:p>
            <w:pPr>
              <w:adjustRightInd w:val="0"/>
              <w:snapToGrid w:val="0"/>
              <w:ind w:left="0" w:leftChars="0" w:right="0" w:rightChars="0"/>
              <w:jc w:val="both"/>
              <w:rPr>
                <w:rFonts w:hint="eastAsia" w:ascii="宋体" w:hAnsi="宋体" w:eastAsia="宋体" w:cs="宋体"/>
                <w:sz w:val="22"/>
                <w:szCs w:val="21"/>
                <w:highlight w:val="none"/>
                <w:lang w:val="en-US" w:eastAsia="zh-CN" w:bidi="zh-CN"/>
              </w:rPr>
            </w:pPr>
            <w:r>
              <w:rPr>
                <w:rFonts w:hint="eastAsia"/>
                <w:highlight w:val="none"/>
              </w:rPr>
              <w:t>用途: 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1"/>
                <w:highlight w:val="none"/>
                <w:lang w:val="en-US" w:eastAsia="zh-CN" w:bidi="zh-CN"/>
              </w:rPr>
            </w:pPr>
            <w:r>
              <w:rPr>
                <w:rFonts w:hint="eastAsia"/>
                <w:highlight w:val="none"/>
              </w:rPr>
              <w:t>2</w:t>
            </w:r>
          </w:p>
        </w:tc>
        <w:tc>
          <w:tcPr>
            <w:tcW w:w="8620" w:type="dxa"/>
            <w:vAlign w:val="center"/>
          </w:tcPr>
          <w:p>
            <w:pPr>
              <w:adjustRightInd w:val="0"/>
              <w:snapToGrid w:val="0"/>
              <w:ind w:left="0" w:leftChars="0" w:right="0" w:rightChars="0"/>
              <w:jc w:val="both"/>
              <w:rPr>
                <w:rFonts w:hint="default" w:ascii="宋体" w:hAnsi="宋体" w:eastAsia="宋体" w:cs="宋体"/>
                <w:sz w:val="22"/>
                <w:szCs w:val="21"/>
                <w:highlight w:val="none"/>
                <w:lang w:val="en-US" w:eastAsia="zh-CN" w:bidi="zh-CN"/>
              </w:rPr>
            </w:pPr>
            <w:r>
              <w:rPr>
                <w:rFonts w:hint="eastAsia"/>
                <w:highlight w:val="none"/>
              </w:rPr>
              <w:t>数量：</w:t>
            </w:r>
            <w:r>
              <w:rPr>
                <w:rFonts w:hint="eastAsia"/>
                <w:highlight w:val="none"/>
                <w:lang w:val="en-US" w:eastAsia="zh-CN"/>
              </w:rPr>
              <w:t>4台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3</w:t>
            </w:r>
          </w:p>
        </w:tc>
        <w:tc>
          <w:tcPr>
            <w:tcW w:w="8620"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p>
        </w:tc>
        <w:tc>
          <w:tcPr>
            <w:tcW w:w="8620"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雪铲系统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4</w:t>
            </w:r>
          </w:p>
        </w:tc>
        <w:tc>
          <w:tcPr>
            <w:tcW w:w="8620"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ind w:left="0" w:leftChars="0" w:right="0" w:rightChars="0"/>
              <w:jc w:val="both"/>
              <w:rPr>
                <w:rFonts w:hint="eastAsia" w:ascii="宋体" w:hAnsi="宋体" w:eastAsia="宋体" w:cs="宋体"/>
                <w:sz w:val="22"/>
                <w:szCs w:val="21"/>
                <w:highlight w:val="none"/>
                <w:lang w:val="zh-CN" w:eastAsia="zh-CN" w:bidi="zh-CN"/>
              </w:rPr>
            </w:pPr>
            <w:r>
              <w:rPr>
                <w:rFonts w:hint="eastAsia" w:ascii="宋体" w:hAnsi="宋体"/>
                <w:szCs w:val="21"/>
                <w:highlight w:val="none"/>
              </w:rPr>
              <w:t>4.1</w:t>
            </w: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ind w:left="0" w:leftChars="0" w:right="0" w:rightChars="0"/>
              <w:jc w:val="center"/>
              <w:rPr>
                <w:rFonts w:hint="eastAsia" w:ascii="宋体" w:hAnsi="宋体" w:eastAsia="宋体" w:cs="宋体"/>
                <w:sz w:val="22"/>
                <w:szCs w:val="21"/>
                <w:highlight w:val="none"/>
                <w:lang w:val="zh-CN" w:eastAsia="zh-CN" w:bidi="zh-CN"/>
              </w:rPr>
            </w:pP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工作场所：室外、露天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ind w:left="0" w:leftChars="0" w:right="0" w:rightChars="0"/>
              <w:jc w:val="center"/>
              <w:rPr>
                <w:rFonts w:hint="eastAsia" w:ascii="宋体" w:hAnsi="宋体" w:eastAsia="宋体" w:cs="宋体"/>
                <w:sz w:val="22"/>
                <w:szCs w:val="21"/>
                <w:highlight w:val="none"/>
                <w:lang w:val="zh-CN" w:eastAsia="zh-CN" w:bidi="zh-CN"/>
              </w:rPr>
            </w:pP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环境温度：摄氏-15</w:t>
            </w:r>
            <w:r>
              <w:rPr>
                <w:rFonts w:hint="eastAsia" w:ascii="宋体" w:hAnsi="宋体"/>
                <w:szCs w:val="21"/>
                <w:highlight w:val="none"/>
              </w:rPr>
              <w:t>℃</w:t>
            </w:r>
            <w:r>
              <w:rPr>
                <w:rFonts w:ascii="宋体" w:hAnsi="宋体"/>
                <w:szCs w:val="21"/>
                <w:highlight w:val="none"/>
              </w:rPr>
              <w:t>～45</w:t>
            </w:r>
            <w:r>
              <w:rPr>
                <w:rFonts w:hint="eastAsia" w:ascii="宋体" w:hAnsi="宋体"/>
                <w:szCs w:val="21"/>
                <w:highlight w:val="none"/>
              </w:rPr>
              <w:t>℃</w:t>
            </w:r>
            <w:r>
              <w:rPr>
                <w:rFonts w:ascii="宋体" w:hAnsi="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widowControl/>
              <w:ind w:left="0" w:leftChars="0" w:right="0" w:rightChars="0"/>
              <w:jc w:val="center"/>
              <w:rPr>
                <w:rFonts w:hint="eastAsia" w:ascii="宋体" w:hAnsi="宋体" w:eastAsia="宋体" w:cs="宋体"/>
                <w:sz w:val="22"/>
                <w:szCs w:val="21"/>
                <w:highlight w:val="none"/>
                <w:lang w:val="zh-CN" w:eastAsia="zh-CN" w:bidi="zh-CN"/>
              </w:rPr>
            </w:pP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现场环境：潮湿，充满灰尘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widowControl/>
              <w:ind w:left="0" w:leftChars="0" w:right="0" w:rightChars="0"/>
              <w:jc w:val="center"/>
              <w:rPr>
                <w:rFonts w:hint="eastAsia" w:ascii="宋体" w:hAnsi="宋体" w:eastAsia="宋体" w:cs="宋体"/>
                <w:sz w:val="22"/>
                <w:szCs w:val="21"/>
                <w:highlight w:val="none"/>
                <w:lang w:val="zh-CN" w:eastAsia="zh-CN" w:bidi="zh-CN"/>
              </w:rPr>
            </w:pP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工作等级：满负荷每天能经受10小时连续工作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4</w:t>
            </w:r>
            <w:r>
              <w:rPr>
                <w:highlight w:val="none"/>
              </w:rPr>
              <w:t>.2</w:t>
            </w:r>
          </w:p>
        </w:tc>
        <w:tc>
          <w:tcPr>
            <w:tcW w:w="8620"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除雪铲性能及配置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4</w:t>
            </w:r>
            <w:r>
              <w:rPr>
                <w:highlight w:val="none"/>
              </w:rPr>
              <w:t>.2.1</w:t>
            </w:r>
          </w:p>
        </w:tc>
        <w:tc>
          <w:tcPr>
            <w:tcW w:w="8620"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形式：卡车前悬挂式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4</w:t>
            </w:r>
            <w:r>
              <w:rPr>
                <w:highlight w:val="none"/>
              </w:rPr>
              <w:t>.2.2</w:t>
            </w:r>
          </w:p>
        </w:tc>
        <w:tc>
          <w:tcPr>
            <w:tcW w:w="8620"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*具有独立液压系统，液压站功率:≥2kw，全液压驱动，液压系统额定工作压力：≥12Mpa，液压系统流量：≥8L/min</w:t>
            </w:r>
            <w:r>
              <w:rPr>
                <w:rFonts w:hint="eastAsia"/>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4.2.3</w:t>
            </w:r>
          </w:p>
        </w:tc>
        <w:tc>
          <w:tcPr>
            <w:tcW w:w="8620" w:type="dxa"/>
            <w:vAlign w:val="center"/>
          </w:tcPr>
          <w:p>
            <w:pPr>
              <w:adjustRightInd w:val="0"/>
              <w:snapToGrid w:val="0"/>
              <w:ind w:left="0" w:leftChars="0" w:right="0" w:rightChars="0"/>
              <w:jc w:val="both"/>
              <w:rPr>
                <w:rFonts w:hint="eastAsia"/>
                <w:highlight w:val="none"/>
              </w:rPr>
            </w:pPr>
            <w:r>
              <w:rPr>
                <w:rFonts w:hint="eastAsia" w:ascii="宋体" w:hAnsi="宋体"/>
                <w:szCs w:val="21"/>
                <w:highlight w:val="none"/>
              </w:rPr>
              <w:t>推雪板</w:t>
            </w:r>
            <w:r>
              <w:rPr>
                <w:rFonts w:hint="eastAsia" w:ascii="宋体" w:hAnsi="宋体" w:cs="宋体-18030"/>
                <w:szCs w:val="21"/>
                <w:highlight w:val="none"/>
              </w:rPr>
              <w:t>采用</w:t>
            </w:r>
            <w:r>
              <w:rPr>
                <w:rFonts w:hint="eastAsia" w:ascii="宋体" w:hAnsi="宋体"/>
                <w:szCs w:val="21"/>
                <w:highlight w:val="none"/>
              </w:rPr>
              <w:t>高强度低合金钢</w:t>
            </w:r>
            <w:r>
              <w:rPr>
                <w:rFonts w:hint="eastAsia" w:ascii="宋体" w:hAnsi="宋体" w:cs="宋体-18030"/>
                <w:szCs w:val="21"/>
                <w:highlight w:val="none"/>
              </w:rPr>
              <w:t>，具有</w:t>
            </w:r>
            <w:r>
              <w:rPr>
                <w:rFonts w:hint="eastAsia" w:ascii="宋体" w:hAnsi="宋体"/>
                <w:szCs w:val="21"/>
                <w:highlight w:val="none"/>
              </w:rPr>
              <w:t>快速连接系统可以和其它前置除雪设备</w:t>
            </w:r>
            <w:r>
              <w:rPr>
                <w:rFonts w:hint="eastAsia" w:ascii="宋体" w:hAnsi="宋体" w:cs="宋体-18030"/>
                <w:szCs w:val="21"/>
                <w:highlight w:val="none"/>
              </w:rPr>
              <w:t>（如扫雪滚刷）</w:t>
            </w:r>
            <w:r>
              <w:rPr>
                <w:rFonts w:hint="eastAsia" w:ascii="宋体" w:hAnsi="宋体"/>
                <w:szCs w:val="21"/>
                <w:highlight w:val="none"/>
              </w:rPr>
              <w:t>快速互换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4.2.4</w:t>
            </w:r>
          </w:p>
        </w:tc>
        <w:tc>
          <w:tcPr>
            <w:tcW w:w="8620" w:type="dxa"/>
            <w:vAlign w:val="center"/>
          </w:tcPr>
          <w:p>
            <w:pPr>
              <w:adjustRightInd w:val="0"/>
              <w:snapToGrid w:val="0"/>
              <w:ind w:left="0" w:leftChars="0" w:right="0" w:rightChars="0"/>
              <w:jc w:val="both"/>
              <w:rPr>
                <w:rFonts w:hint="eastAsia"/>
                <w:highlight w:val="none"/>
              </w:rPr>
            </w:pPr>
            <w:r>
              <w:rPr>
                <w:rFonts w:hint="eastAsia" w:ascii="宋体" w:hAnsi="宋体"/>
                <w:szCs w:val="21"/>
                <w:highlight w:val="none"/>
              </w:rPr>
              <w:t>推雪板铲刃</w:t>
            </w:r>
            <w:r>
              <w:rPr>
                <w:rFonts w:hint="eastAsia" w:ascii="宋体" w:hAnsi="宋体" w:cs="宋体-18030"/>
                <w:szCs w:val="21"/>
                <w:highlight w:val="none"/>
              </w:rPr>
              <w:t>具有耐磨性和抗冲击能力强及可更换的特点，采用</w:t>
            </w:r>
            <w:r>
              <w:rPr>
                <w:rFonts w:hint="eastAsia" w:ascii="微软雅黑" w:hAnsi="微软雅黑" w:eastAsia="微软雅黑" w:cs="Arial"/>
                <w:szCs w:val="21"/>
                <w:highlight w:val="none"/>
              </w:rPr>
              <w:t>80弹簧钢</w:t>
            </w:r>
            <w:r>
              <w:rPr>
                <w:rFonts w:hint="eastAsia" w:ascii="宋体" w:hAnsi="宋体"/>
                <w:szCs w:val="21"/>
                <w:highlight w:val="none"/>
              </w:rPr>
              <w:t>钢板或更优材料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4.2.5</w:t>
            </w:r>
          </w:p>
        </w:tc>
        <w:tc>
          <w:tcPr>
            <w:tcW w:w="8620" w:type="dxa"/>
            <w:vAlign w:val="center"/>
          </w:tcPr>
          <w:p>
            <w:pPr>
              <w:adjustRightInd w:val="0"/>
              <w:snapToGrid w:val="0"/>
              <w:ind w:left="0" w:leftChars="0" w:right="0" w:rightChars="0"/>
              <w:jc w:val="both"/>
              <w:rPr>
                <w:rFonts w:hint="eastAsia"/>
                <w:highlight w:val="none"/>
              </w:rPr>
            </w:pPr>
            <w:r>
              <w:rPr>
                <w:rFonts w:hint="eastAsia" w:ascii="宋体" w:hAnsi="宋体"/>
                <w:szCs w:val="21"/>
                <w:highlight w:val="none"/>
              </w:rPr>
              <w:t>*推雪板宽：≥</w:t>
            </w:r>
            <w:r>
              <w:rPr>
                <w:rFonts w:ascii="宋体" w:hAnsi="宋体"/>
                <w:szCs w:val="21"/>
                <w:highlight w:val="none"/>
              </w:rPr>
              <w:t>3</w:t>
            </w:r>
            <w:r>
              <w:rPr>
                <w:rFonts w:hint="eastAsia" w:ascii="宋体" w:hAnsi="宋体"/>
                <w:szCs w:val="21"/>
                <w:highlight w:val="none"/>
              </w:rPr>
              <w:t>60</w:t>
            </w:r>
            <w:r>
              <w:rPr>
                <w:rFonts w:ascii="宋体" w:hAnsi="宋体"/>
                <w:szCs w:val="21"/>
                <w:highlight w:val="none"/>
              </w:rPr>
              <w:t>0mm</w:t>
            </w:r>
            <w:r>
              <w:rPr>
                <w:rFonts w:hint="eastAsia" w:ascii="宋体" w:hAnsi="宋体"/>
                <w:szCs w:val="21"/>
                <w:highlight w:val="none"/>
              </w:rPr>
              <w:t>，工作宽度：≥3200mm, 可</w:t>
            </w:r>
            <w:r>
              <w:rPr>
                <w:rFonts w:ascii="宋体" w:hAnsi="宋体"/>
                <w:szCs w:val="21"/>
                <w:highlight w:val="none"/>
              </w:rPr>
              <w:t>液压控制</w:t>
            </w:r>
            <w:r>
              <w:rPr>
                <w:rFonts w:hint="eastAsia" w:ascii="宋体" w:hAnsi="宋体"/>
                <w:szCs w:val="21"/>
                <w:highlight w:val="none"/>
              </w:rPr>
              <w:t>左右摆动角度左右摆动角度：≥0-±25°，</w:t>
            </w:r>
            <w:r>
              <w:rPr>
                <w:rFonts w:hint="eastAsia" w:ascii="宋体" w:hAnsi="宋体" w:cs="宋体-18030"/>
                <w:szCs w:val="21"/>
                <w:highlight w:val="none"/>
              </w:rPr>
              <w:t>有限位功能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4.2.6</w:t>
            </w:r>
          </w:p>
        </w:tc>
        <w:tc>
          <w:tcPr>
            <w:tcW w:w="8620" w:type="dxa"/>
            <w:vAlign w:val="center"/>
          </w:tcPr>
          <w:p>
            <w:pPr>
              <w:adjustRightInd w:val="0"/>
              <w:snapToGrid w:val="0"/>
              <w:ind w:left="0" w:leftChars="0" w:right="0" w:rightChars="0"/>
              <w:jc w:val="both"/>
              <w:rPr>
                <w:rFonts w:hint="eastAsia"/>
                <w:highlight w:val="none"/>
              </w:rPr>
            </w:pPr>
            <w:r>
              <w:rPr>
                <w:rFonts w:hint="eastAsia" w:ascii="宋体" w:hAnsi="宋体"/>
                <w:szCs w:val="21"/>
                <w:highlight w:val="none"/>
              </w:rPr>
              <w:t>*推雪板高：≥12</w:t>
            </w:r>
            <w:r>
              <w:rPr>
                <w:rFonts w:ascii="宋体" w:hAnsi="宋体"/>
                <w:szCs w:val="21"/>
                <w:highlight w:val="none"/>
              </w:rPr>
              <w:t>00mm</w:t>
            </w:r>
            <w:r>
              <w:rPr>
                <w:rFonts w:hint="eastAsia" w:ascii="宋体" w:hAnsi="宋体"/>
                <w:szCs w:val="21"/>
                <w:highlight w:val="none"/>
              </w:rPr>
              <w:t>，除雪板重量：≥1000kg，对压实雪具有强制下压功能，保证在短时间内清除压实雪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4.2.7</w:t>
            </w:r>
          </w:p>
        </w:tc>
        <w:tc>
          <w:tcPr>
            <w:tcW w:w="8620" w:type="dxa"/>
            <w:vAlign w:val="center"/>
          </w:tcPr>
          <w:p>
            <w:pPr>
              <w:adjustRightInd w:val="0"/>
              <w:snapToGrid w:val="0"/>
              <w:ind w:left="0" w:leftChars="0" w:right="0" w:rightChars="0"/>
              <w:jc w:val="both"/>
              <w:rPr>
                <w:rFonts w:hint="eastAsia"/>
                <w:highlight w:val="none"/>
              </w:rPr>
            </w:pPr>
            <w:r>
              <w:rPr>
                <w:rFonts w:hint="eastAsia" w:ascii="宋体" w:hAnsi="宋体"/>
                <w:szCs w:val="21"/>
                <w:highlight w:val="none"/>
              </w:rPr>
              <w:t>最大除雪速度：≥5</w:t>
            </w:r>
            <w:r>
              <w:rPr>
                <w:rFonts w:ascii="宋体" w:hAnsi="宋体"/>
                <w:szCs w:val="21"/>
                <w:highlight w:val="none"/>
              </w:rPr>
              <w:t>0</w:t>
            </w:r>
            <w:r>
              <w:rPr>
                <w:rFonts w:hint="eastAsia" w:ascii="宋体" w:hAnsi="宋体"/>
                <w:szCs w:val="21"/>
                <w:highlight w:val="none"/>
              </w:rPr>
              <w:t>k</w:t>
            </w:r>
            <w:r>
              <w:rPr>
                <w:rFonts w:ascii="宋体" w:hAnsi="宋体"/>
                <w:szCs w:val="21"/>
                <w:highlight w:val="none"/>
              </w:rPr>
              <w:t>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4.2.8</w:t>
            </w:r>
          </w:p>
        </w:tc>
        <w:tc>
          <w:tcPr>
            <w:tcW w:w="8620" w:type="dxa"/>
            <w:vAlign w:val="top"/>
          </w:tcPr>
          <w:p>
            <w:pPr>
              <w:ind w:left="0" w:leftChars="0" w:right="0" w:rightChars="0"/>
              <w:rPr>
                <w:rFonts w:hint="eastAsia" w:ascii="宋体" w:hAnsi="宋体" w:eastAsia="宋体" w:cs="宋体"/>
                <w:sz w:val="22"/>
                <w:szCs w:val="21"/>
                <w:highlight w:val="none"/>
                <w:lang w:val="zh-CN" w:eastAsia="zh-CN" w:bidi="zh-CN"/>
              </w:rPr>
            </w:pPr>
            <w:r>
              <w:rPr>
                <w:rFonts w:hint="eastAsia" w:ascii="宋体" w:hAnsi="宋体"/>
                <w:szCs w:val="21"/>
                <w:highlight w:val="none"/>
              </w:rPr>
              <w:t>除雪板可采用弯曲流线型设计从而高速下具有抛雪功能。板面有钢制框架保护或配加强筋保护（加强筋个数：</w:t>
            </w:r>
            <w:r>
              <w:rPr>
                <w:rFonts w:ascii="宋体" w:hAnsi="宋体"/>
                <w:szCs w:val="21"/>
                <w:highlight w:val="none"/>
              </w:rPr>
              <w:t xml:space="preserve"> 10</w:t>
            </w:r>
            <w:r>
              <w:rPr>
                <w:rFonts w:hint="eastAsia" w:ascii="宋体" w:hAnsi="宋体"/>
                <w:szCs w:val="21"/>
                <w:highlight w:val="none"/>
              </w:rPr>
              <w:t>±3），具有抗撞击能力。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4.2.9</w:t>
            </w:r>
          </w:p>
        </w:tc>
        <w:tc>
          <w:tcPr>
            <w:tcW w:w="8620" w:type="dxa"/>
            <w:vAlign w:val="top"/>
          </w:tcPr>
          <w:p>
            <w:pPr>
              <w:ind w:left="0" w:leftChars="0" w:right="0" w:rightChars="0"/>
              <w:rPr>
                <w:rFonts w:hint="eastAsia" w:ascii="宋体" w:hAnsi="宋体" w:eastAsia="宋体" w:cs="宋体"/>
                <w:sz w:val="22"/>
                <w:szCs w:val="21"/>
                <w:highlight w:val="none"/>
                <w:lang w:val="zh-CN" w:eastAsia="zh-CN" w:bidi="zh-CN"/>
              </w:rPr>
            </w:pPr>
            <w:r>
              <w:rPr>
                <w:rFonts w:hint="eastAsia" w:ascii="宋体" w:hAnsi="宋体"/>
                <w:szCs w:val="21"/>
                <w:highlight w:val="none"/>
              </w:rPr>
              <w:t>推雪板液压系统驱动全部各种动作并可车内实现控制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4.2.10</w:t>
            </w:r>
          </w:p>
        </w:tc>
        <w:tc>
          <w:tcPr>
            <w:tcW w:w="8620" w:type="dxa"/>
            <w:vAlign w:val="top"/>
          </w:tcPr>
          <w:p>
            <w:pPr>
              <w:ind w:left="0" w:leftChars="0" w:right="0" w:rightChars="0"/>
              <w:rPr>
                <w:rFonts w:hint="eastAsia" w:ascii="宋体" w:hAnsi="宋体" w:eastAsia="宋体" w:cs="宋体"/>
                <w:sz w:val="22"/>
                <w:szCs w:val="21"/>
                <w:highlight w:val="none"/>
                <w:lang w:val="zh-CN" w:eastAsia="zh-CN" w:bidi="zh-CN"/>
              </w:rPr>
            </w:pPr>
            <w:r>
              <w:rPr>
                <w:rFonts w:hint="eastAsia" w:ascii="宋体" w:hAnsi="宋体" w:cs="宋体-18030"/>
                <w:szCs w:val="21"/>
                <w:highlight w:val="none"/>
              </w:rPr>
              <w:t>*</w:t>
            </w:r>
            <w:r>
              <w:rPr>
                <w:rFonts w:hint="eastAsia" w:ascii="宋体" w:hAnsi="宋体"/>
                <w:szCs w:val="21"/>
                <w:highlight w:val="none"/>
              </w:rPr>
              <w:t>推雪板</w:t>
            </w:r>
            <w:r>
              <w:rPr>
                <w:rFonts w:hint="eastAsia" w:ascii="宋体" w:hAnsi="宋体" w:cs="宋体-18030"/>
                <w:szCs w:val="21"/>
                <w:highlight w:val="none"/>
              </w:rPr>
              <w:t>具有</w:t>
            </w:r>
            <w:r>
              <w:rPr>
                <w:rFonts w:hint="eastAsia" w:ascii="宋体" w:hAnsi="宋体"/>
                <w:szCs w:val="21"/>
                <w:highlight w:val="none"/>
              </w:rPr>
              <w:t>自动避障和自动复位</w:t>
            </w:r>
            <w:r>
              <w:rPr>
                <w:rFonts w:hint="eastAsia" w:ascii="宋体" w:hAnsi="宋体" w:cs="宋体-18030"/>
                <w:szCs w:val="21"/>
                <w:highlight w:val="none"/>
              </w:rPr>
              <w:t>功能，避障形式采</w:t>
            </w:r>
            <w:r>
              <w:rPr>
                <w:rFonts w:hint="eastAsia" w:ascii="宋体" w:hAnsi="宋体" w:cs="宋体-18030"/>
                <w:szCs w:val="21"/>
                <w:highlight w:val="none"/>
                <w:u w:val="single"/>
              </w:rPr>
              <w:t>用</w:t>
            </w:r>
            <w:r>
              <w:rPr>
                <w:rFonts w:hint="eastAsia" w:ascii="宋体" w:hAnsi="宋体" w:cs="宋体-18030"/>
                <w:szCs w:val="21"/>
                <w:highlight w:val="none"/>
              </w:rPr>
              <w:t>压缩式弹簧避障，撞击障碍物后雪板整体可自动翻转或</w:t>
            </w:r>
            <w:r>
              <w:rPr>
                <w:rFonts w:hint="eastAsia" w:ascii="宋体" w:hAnsi="宋体"/>
                <w:szCs w:val="21"/>
                <w:highlight w:val="none"/>
              </w:rPr>
              <w:t>铲刃分段式液压避障</w:t>
            </w:r>
            <w:r>
              <w:rPr>
                <w:rFonts w:hint="eastAsia" w:ascii="宋体" w:hAnsi="宋体" w:cs="宋体-18030"/>
                <w:szCs w:val="21"/>
                <w:highlight w:val="none"/>
              </w:rPr>
              <w:t>，越障高度：≥</w:t>
            </w:r>
            <w:r>
              <w:rPr>
                <w:rFonts w:ascii="宋体" w:hAnsi="宋体" w:cs="宋体-18030"/>
                <w:szCs w:val="21"/>
                <w:highlight w:val="none"/>
              </w:rPr>
              <w:t>1</w:t>
            </w:r>
            <w:r>
              <w:rPr>
                <w:rFonts w:hint="eastAsia" w:ascii="宋体" w:hAnsi="宋体" w:cs="宋体-18030"/>
                <w:szCs w:val="21"/>
                <w:highlight w:val="none"/>
              </w:rPr>
              <w:t>0</w:t>
            </w:r>
            <w:r>
              <w:rPr>
                <w:rFonts w:ascii="宋体" w:hAnsi="宋体" w:cs="宋体-18030"/>
                <w:szCs w:val="21"/>
                <w:highlight w:val="none"/>
              </w:rPr>
              <w:t>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4.2.11</w:t>
            </w:r>
          </w:p>
        </w:tc>
        <w:tc>
          <w:tcPr>
            <w:tcW w:w="8620" w:type="dxa"/>
            <w:vAlign w:val="top"/>
          </w:tcPr>
          <w:p>
            <w:pPr>
              <w:ind w:left="0" w:leftChars="0" w:right="0" w:rightChars="0"/>
              <w:rPr>
                <w:rFonts w:hint="eastAsia" w:ascii="宋体" w:hAnsi="宋体" w:eastAsia="宋体" w:cs="宋体-18030"/>
                <w:sz w:val="22"/>
                <w:szCs w:val="21"/>
                <w:highlight w:val="none"/>
                <w:lang w:val="zh-CN" w:eastAsia="zh-CN" w:bidi="zh-CN"/>
              </w:rPr>
            </w:pPr>
            <w:r>
              <w:rPr>
                <w:rFonts w:hint="eastAsia" w:ascii="宋体" w:hAnsi="宋体" w:cs="宋体-18030"/>
                <w:szCs w:val="21"/>
                <w:highlight w:val="none"/>
              </w:rPr>
              <w:t>推雪板要求具有路沿防碰撞功能，防撞装置尺寸（长×宽×厚）：≥</w:t>
            </w:r>
            <w:r>
              <w:rPr>
                <w:rFonts w:ascii="宋体" w:hAnsi="宋体" w:cs="宋体-18030"/>
                <w:szCs w:val="21"/>
                <w:highlight w:val="none"/>
              </w:rPr>
              <w:t>330</w:t>
            </w:r>
            <w:r>
              <w:rPr>
                <w:rFonts w:hint="eastAsia" w:ascii="宋体" w:hAnsi="宋体" w:cs="宋体-18030"/>
                <w:szCs w:val="21"/>
                <w:highlight w:val="none"/>
              </w:rPr>
              <w:t>×</w:t>
            </w:r>
            <w:r>
              <w:rPr>
                <w:rFonts w:ascii="宋体" w:hAnsi="宋体" w:cs="宋体-18030"/>
                <w:szCs w:val="21"/>
                <w:highlight w:val="none"/>
              </w:rPr>
              <w:t>110</w:t>
            </w:r>
            <w:r>
              <w:rPr>
                <w:rFonts w:hint="eastAsia" w:ascii="宋体" w:hAnsi="宋体" w:cs="宋体-18030"/>
                <w:szCs w:val="21"/>
                <w:highlight w:val="none"/>
              </w:rPr>
              <w:t>×</w:t>
            </w:r>
            <w:r>
              <w:rPr>
                <w:rFonts w:ascii="宋体" w:hAnsi="宋体" w:cs="宋体-18030"/>
                <w:szCs w:val="21"/>
                <w:highlight w:val="none"/>
              </w:rPr>
              <w:t>25mm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4.2.12</w:t>
            </w:r>
          </w:p>
        </w:tc>
        <w:tc>
          <w:tcPr>
            <w:tcW w:w="8620" w:type="dxa"/>
            <w:vAlign w:val="center"/>
          </w:tcPr>
          <w:p>
            <w:pPr>
              <w:adjustRightInd w:val="0"/>
              <w:snapToGrid w:val="0"/>
              <w:ind w:left="0" w:leftChars="0" w:right="0" w:rightChars="0"/>
              <w:jc w:val="both"/>
              <w:rPr>
                <w:rFonts w:hint="eastAsia"/>
                <w:highlight w:val="none"/>
              </w:rPr>
            </w:pPr>
            <w:r>
              <w:rPr>
                <w:rFonts w:hint="eastAsia" w:ascii="宋体" w:hAnsi="宋体" w:cs="宋体"/>
                <w:szCs w:val="21"/>
                <w:highlight w:val="none"/>
              </w:rPr>
              <w:t>雪铲两边安装适当高度</w:t>
            </w:r>
            <w:r>
              <w:rPr>
                <w:rFonts w:ascii="宋体" w:hAnsi="宋体" w:cs="宋体"/>
                <w:szCs w:val="21"/>
                <w:highlight w:val="none"/>
              </w:rPr>
              <w:t>LED</w:t>
            </w:r>
            <w:r>
              <w:rPr>
                <w:rFonts w:hint="eastAsia" w:ascii="宋体" w:hAnsi="宋体" w:cs="宋体"/>
                <w:szCs w:val="21"/>
                <w:highlight w:val="none"/>
              </w:rPr>
              <w:t>工作警示灯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4.2.13</w:t>
            </w:r>
          </w:p>
        </w:tc>
        <w:tc>
          <w:tcPr>
            <w:tcW w:w="8620" w:type="dxa"/>
            <w:vAlign w:val="top"/>
          </w:tcPr>
          <w:p>
            <w:pPr>
              <w:ind w:left="0" w:leftChars="0" w:right="0" w:rightChars="0"/>
              <w:rPr>
                <w:rFonts w:hint="eastAsia" w:ascii="宋体" w:hAnsi="宋体" w:eastAsia="宋体" w:cs="黑体"/>
                <w:sz w:val="22"/>
                <w:szCs w:val="22"/>
                <w:highlight w:val="none"/>
                <w:lang w:val="zh-CN" w:eastAsia="zh-CN" w:bidi="zh-CN"/>
              </w:rPr>
            </w:pPr>
            <w:r>
              <w:rPr>
                <w:rFonts w:hint="eastAsia" w:cs="宋体"/>
                <w:szCs w:val="21"/>
                <w:highlight w:val="none"/>
                <w:lang w:val="en-US" w:eastAsia="zh-CN"/>
              </w:rPr>
              <w:t>整体</w:t>
            </w:r>
            <w:r>
              <w:rPr>
                <w:rFonts w:hint="eastAsia" w:ascii="宋体" w:hAnsi="宋体" w:cs="宋体"/>
                <w:szCs w:val="21"/>
                <w:highlight w:val="none"/>
              </w:rPr>
              <w:t>颜色为工程黄色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4.2.14</w:t>
            </w:r>
          </w:p>
        </w:tc>
        <w:tc>
          <w:tcPr>
            <w:tcW w:w="8620" w:type="dxa"/>
            <w:vAlign w:val="center"/>
          </w:tcPr>
          <w:p>
            <w:pPr>
              <w:ind w:left="0" w:leftChars="0" w:right="0" w:rightChars="0"/>
              <w:jc w:val="both"/>
              <w:rPr>
                <w:rFonts w:hint="default" w:ascii="宋体" w:hAnsi="宋体" w:cs="黑体" w:eastAsiaTheme="minorEastAsia"/>
                <w:sz w:val="22"/>
                <w:szCs w:val="22"/>
                <w:highlight w:val="none"/>
                <w:lang w:val="en-US" w:eastAsia="zh-CN" w:bidi="zh-CN"/>
              </w:rPr>
            </w:pPr>
            <w:r>
              <w:rPr>
                <w:rFonts w:hint="eastAsia" w:ascii="宋体" w:hAnsi="宋体" w:cs="宋体"/>
                <w:szCs w:val="21"/>
                <w:highlight w:val="none"/>
              </w:rPr>
              <w:t xml:space="preserve">交货期： </w:t>
            </w:r>
            <w:r>
              <w:rPr>
                <w:rFonts w:hint="eastAsia" w:ascii="宋体" w:hAnsi="宋体" w:cs="宋体"/>
                <w:szCs w:val="21"/>
                <w:highlight w:val="none"/>
                <w:lang w:val="en-US" w:eastAsia="zh-CN"/>
              </w:rPr>
              <w:t>65个工作日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4.2.15</w:t>
            </w:r>
          </w:p>
        </w:tc>
        <w:tc>
          <w:tcPr>
            <w:tcW w:w="8620" w:type="dxa"/>
            <w:vAlign w:val="center"/>
          </w:tcPr>
          <w:p>
            <w:pPr>
              <w:ind w:left="0" w:leftChars="0" w:right="0" w:rightChars="0"/>
              <w:jc w:val="both"/>
              <w:rPr>
                <w:rFonts w:hint="eastAsia" w:ascii="宋体" w:hAnsi="宋体" w:eastAsia="宋体" w:cs="黑体"/>
                <w:sz w:val="22"/>
                <w:szCs w:val="22"/>
                <w:highlight w:val="none"/>
                <w:lang w:val="zh-CN" w:eastAsia="zh-CN" w:bidi="zh-CN"/>
              </w:rPr>
            </w:pPr>
            <w:r>
              <w:rPr>
                <w:rFonts w:hint="eastAsia" w:ascii="宋体" w:hAnsi="宋体" w:cs="宋体"/>
                <w:szCs w:val="21"/>
                <w:highlight w:val="none"/>
              </w:rPr>
              <w:t>质保期：</w:t>
            </w:r>
            <w:r>
              <w:rPr>
                <w:rFonts w:hint="eastAsia" w:cs="宋体"/>
                <w:szCs w:val="21"/>
                <w:highlight w:val="none"/>
                <w:lang w:val="en-US" w:eastAsia="zh-CN"/>
              </w:rPr>
              <w:t>24</w:t>
            </w:r>
            <w:r>
              <w:rPr>
                <w:rFonts w:hint="eastAsia" w:ascii="宋体" w:hAnsi="宋体" w:cs="宋体"/>
                <w:szCs w:val="21"/>
                <w:highlight w:val="none"/>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b/>
                <w:bCs/>
                <w:sz w:val="22"/>
                <w:szCs w:val="21"/>
                <w:lang w:val="zh-CN" w:eastAsia="zh-CN" w:bidi="zh-CN"/>
              </w:rPr>
            </w:pPr>
            <w:r>
              <w:rPr>
                <w:rFonts w:hint="eastAsia"/>
                <w:b/>
                <w:bCs/>
                <w:szCs w:val="21"/>
                <w:lang w:val="en-US" w:eastAsia="zh-CN"/>
              </w:rPr>
              <w:t>四</w:t>
            </w:r>
          </w:p>
        </w:tc>
        <w:tc>
          <w:tcPr>
            <w:tcW w:w="8620" w:type="dxa"/>
            <w:vAlign w:val="center"/>
          </w:tcPr>
          <w:p>
            <w:pPr>
              <w:adjustRightInd w:val="0"/>
              <w:snapToGrid w:val="0"/>
              <w:ind w:left="0" w:leftChars="0" w:right="0" w:rightChars="0"/>
              <w:jc w:val="both"/>
              <w:rPr>
                <w:rFonts w:hint="eastAsia" w:ascii="宋体" w:hAnsi="宋体" w:eastAsia="宋体" w:cs="宋体"/>
                <w:b/>
                <w:bCs/>
                <w:sz w:val="22"/>
                <w:szCs w:val="21"/>
                <w:lang w:val="en-US" w:eastAsia="zh-CN" w:bidi="zh-CN"/>
              </w:rPr>
            </w:pPr>
            <w:r>
              <w:rPr>
                <w:rFonts w:hint="eastAsia"/>
                <w:b/>
                <w:bCs/>
                <w:szCs w:val="21"/>
                <w:lang w:val="en-US" w:eastAsia="zh-CN"/>
              </w:rPr>
              <w:t>皮带运输机技术参数要求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1"/>
                <w:highlight w:val="none"/>
                <w:lang w:val="en-US" w:eastAsia="zh-CN" w:bidi="zh-CN"/>
              </w:rPr>
            </w:pPr>
            <w:r>
              <w:rPr>
                <w:rFonts w:hint="eastAsia"/>
                <w:highlight w:val="none"/>
              </w:rPr>
              <w:t>1</w:t>
            </w:r>
          </w:p>
        </w:tc>
        <w:tc>
          <w:tcPr>
            <w:tcW w:w="8620" w:type="dxa"/>
            <w:vAlign w:val="center"/>
          </w:tcPr>
          <w:p>
            <w:pPr>
              <w:adjustRightInd w:val="0"/>
              <w:snapToGrid w:val="0"/>
              <w:ind w:left="0" w:leftChars="0" w:right="0" w:rightChars="0"/>
              <w:jc w:val="both"/>
              <w:rPr>
                <w:rFonts w:hint="eastAsia" w:ascii="宋体" w:hAnsi="宋体" w:eastAsia="宋体" w:cs="宋体"/>
                <w:sz w:val="22"/>
                <w:szCs w:val="21"/>
                <w:highlight w:val="none"/>
                <w:lang w:val="en-US" w:eastAsia="zh-CN" w:bidi="zh-CN"/>
              </w:rPr>
            </w:pPr>
            <w:r>
              <w:rPr>
                <w:rFonts w:hint="eastAsia"/>
                <w:highlight w:val="none"/>
              </w:rPr>
              <w:t>用途: 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1"/>
                <w:highlight w:val="none"/>
                <w:lang w:val="en-US" w:eastAsia="zh-CN" w:bidi="zh-CN"/>
              </w:rPr>
            </w:pPr>
            <w:r>
              <w:rPr>
                <w:rFonts w:hint="eastAsia"/>
                <w:highlight w:val="none"/>
              </w:rPr>
              <w:t>2</w:t>
            </w:r>
          </w:p>
        </w:tc>
        <w:tc>
          <w:tcPr>
            <w:tcW w:w="8620" w:type="dxa"/>
            <w:vAlign w:val="center"/>
          </w:tcPr>
          <w:p>
            <w:pPr>
              <w:adjustRightInd w:val="0"/>
              <w:snapToGrid w:val="0"/>
              <w:ind w:left="0" w:leftChars="0" w:right="0" w:rightChars="0"/>
              <w:jc w:val="both"/>
              <w:rPr>
                <w:rFonts w:hint="eastAsia" w:ascii="宋体" w:hAnsi="宋体" w:eastAsia="宋体" w:cs="宋体"/>
                <w:sz w:val="22"/>
                <w:szCs w:val="21"/>
                <w:highlight w:val="none"/>
                <w:lang w:val="en-US" w:eastAsia="zh-CN" w:bidi="zh-CN"/>
              </w:rPr>
            </w:pPr>
            <w:r>
              <w:rPr>
                <w:rFonts w:hint="eastAsia"/>
                <w:highlight w:val="none"/>
              </w:rPr>
              <w:t>数量：</w:t>
            </w:r>
            <w:r>
              <w:rPr>
                <w:rFonts w:hint="eastAsia"/>
                <w:highlight w:val="none"/>
                <w:lang w:val="en-US" w:eastAsia="zh-CN"/>
              </w:rPr>
              <w:t>4台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4</w:t>
            </w:r>
          </w:p>
        </w:tc>
        <w:tc>
          <w:tcPr>
            <w:tcW w:w="8620"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ind w:left="0" w:leftChars="0" w:right="0" w:rightChars="0"/>
              <w:jc w:val="both"/>
              <w:rPr>
                <w:rFonts w:hint="eastAsia" w:ascii="宋体" w:hAnsi="宋体" w:eastAsia="宋体" w:cs="宋体"/>
                <w:sz w:val="22"/>
                <w:szCs w:val="21"/>
                <w:highlight w:val="none"/>
                <w:lang w:val="zh-CN" w:eastAsia="zh-CN" w:bidi="zh-CN"/>
              </w:rPr>
            </w:pPr>
            <w:r>
              <w:rPr>
                <w:rFonts w:hint="eastAsia" w:ascii="宋体" w:hAnsi="宋体"/>
                <w:szCs w:val="21"/>
                <w:highlight w:val="none"/>
              </w:rPr>
              <w:t>4.1</w:t>
            </w: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ind w:left="0" w:leftChars="0" w:right="0" w:rightChars="0"/>
              <w:jc w:val="center"/>
              <w:rPr>
                <w:rFonts w:hint="eastAsia" w:ascii="宋体" w:hAnsi="宋体" w:eastAsia="宋体" w:cs="宋体"/>
                <w:sz w:val="22"/>
                <w:szCs w:val="21"/>
                <w:highlight w:val="none"/>
                <w:lang w:val="zh-CN" w:eastAsia="zh-CN" w:bidi="zh-CN"/>
              </w:rPr>
            </w:pP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工作场所：室外、露天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ind w:left="0" w:leftChars="0" w:right="0" w:rightChars="0"/>
              <w:jc w:val="center"/>
              <w:rPr>
                <w:rFonts w:hint="eastAsia" w:ascii="宋体" w:hAnsi="宋体" w:eastAsia="宋体" w:cs="宋体"/>
                <w:sz w:val="22"/>
                <w:szCs w:val="21"/>
                <w:highlight w:val="none"/>
                <w:lang w:val="zh-CN" w:eastAsia="zh-CN" w:bidi="zh-CN"/>
              </w:rPr>
            </w:pP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环境温度：摄氏-15</w:t>
            </w:r>
            <w:r>
              <w:rPr>
                <w:rFonts w:hint="eastAsia" w:ascii="宋体" w:hAnsi="宋体"/>
                <w:szCs w:val="21"/>
                <w:highlight w:val="none"/>
              </w:rPr>
              <w:t>℃</w:t>
            </w:r>
            <w:r>
              <w:rPr>
                <w:rFonts w:ascii="宋体" w:hAnsi="宋体"/>
                <w:szCs w:val="21"/>
                <w:highlight w:val="none"/>
              </w:rPr>
              <w:t>～45</w:t>
            </w:r>
            <w:r>
              <w:rPr>
                <w:rFonts w:hint="eastAsia" w:ascii="宋体" w:hAnsi="宋体"/>
                <w:szCs w:val="21"/>
                <w:highlight w:val="none"/>
              </w:rPr>
              <w:t>℃</w:t>
            </w:r>
            <w:r>
              <w:rPr>
                <w:rFonts w:ascii="宋体" w:hAnsi="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widowControl/>
              <w:ind w:left="0" w:leftChars="0" w:right="0" w:rightChars="0"/>
              <w:jc w:val="center"/>
              <w:rPr>
                <w:rFonts w:hint="eastAsia" w:ascii="宋体" w:hAnsi="宋体" w:eastAsia="宋体" w:cs="宋体"/>
                <w:sz w:val="22"/>
                <w:szCs w:val="21"/>
                <w:highlight w:val="none"/>
                <w:lang w:val="zh-CN" w:eastAsia="zh-CN" w:bidi="zh-CN"/>
              </w:rPr>
            </w:pP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现场环境：潮湿，充满灰尘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widowControl/>
              <w:ind w:left="0" w:leftChars="0" w:right="0" w:rightChars="0"/>
              <w:jc w:val="center"/>
              <w:rPr>
                <w:rFonts w:hint="eastAsia" w:ascii="宋体" w:hAnsi="宋体" w:eastAsia="宋体" w:cs="宋体"/>
                <w:sz w:val="22"/>
                <w:szCs w:val="21"/>
                <w:highlight w:val="none"/>
                <w:lang w:val="zh-CN" w:eastAsia="zh-CN" w:bidi="zh-CN"/>
              </w:rPr>
            </w:pPr>
          </w:p>
        </w:tc>
        <w:tc>
          <w:tcPr>
            <w:tcW w:w="8620" w:type="dxa"/>
            <w:vAlign w:val="center"/>
          </w:tcPr>
          <w:p>
            <w:pPr>
              <w:widowControl/>
              <w:ind w:left="0" w:leftChars="0" w:right="0" w:rightChars="0"/>
              <w:jc w:val="both"/>
              <w:rPr>
                <w:rFonts w:hint="eastAsia" w:ascii="宋体" w:hAnsi="宋体" w:eastAsia="宋体" w:cs="宋体"/>
                <w:sz w:val="22"/>
                <w:szCs w:val="21"/>
                <w:highlight w:val="none"/>
                <w:lang w:val="zh-CN" w:eastAsia="zh-CN" w:bidi="zh-CN"/>
              </w:rPr>
            </w:pPr>
            <w:r>
              <w:rPr>
                <w:rFonts w:ascii="宋体" w:hAnsi="宋体"/>
                <w:szCs w:val="21"/>
                <w:highlight w:val="none"/>
              </w:rPr>
              <w:t>工作等级：满负荷每天能经受10小时连续工作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rPr>
              <w:t>4</w:t>
            </w:r>
            <w:r>
              <w:rPr>
                <w:highlight w:val="none"/>
              </w:rPr>
              <w:t>.2</w:t>
            </w:r>
          </w:p>
        </w:tc>
        <w:tc>
          <w:tcPr>
            <w:tcW w:w="8620" w:type="dxa"/>
            <w:vAlign w:val="center"/>
          </w:tcPr>
          <w:p>
            <w:pPr>
              <w:adjustRightInd w:val="0"/>
              <w:snapToGrid w:val="0"/>
              <w:ind w:left="0" w:leftChars="0" w:right="0" w:rightChars="0"/>
              <w:jc w:val="both"/>
              <w:rPr>
                <w:rFonts w:hint="eastAsia" w:ascii="宋体" w:hAnsi="宋体" w:eastAsia="宋体" w:cs="宋体"/>
                <w:sz w:val="22"/>
                <w:szCs w:val="22"/>
                <w:highlight w:val="none"/>
                <w:lang w:val="en-US" w:eastAsia="zh-CN" w:bidi="zh-CN"/>
              </w:rPr>
            </w:pPr>
            <w:r>
              <w:rPr>
                <w:rFonts w:hint="eastAsia"/>
                <w:highlight w:val="none"/>
                <w:lang w:val="en-US" w:eastAsia="zh-CN"/>
              </w:rPr>
              <w:t>皮带运输机</w:t>
            </w:r>
            <w:r>
              <w:rPr>
                <w:rFonts w:hint="eastAsia"/>
                <w:highlight w:val="none"/>
              </w:rPr>
              <w:t>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4.2.1</w:t>
            </w:r>
          </w:p>
        </w:tc>
        <w:tc>
          <w:tcPr>
            <w:tcW w:w="8620" w:type="dxa"/>
            <w:vAlign w:val="center"/>
          </w:tcPr>
          <w:p>
            <w:pPr>
              <w:adjustRightInd w:val="0"/>
              <w:snapToGrid w:val="0"/>
              <w:ind w:left="0" w:leftChars="0" w:right="0" w:rightChars="0"/>
              <w:jc w:val="both"/>
              <w:rPr>
                <w:rFonts w:hint="eastAsia"/>
                <w:highlight w:val="none"/>
              </w:rPr>
            </w:pPr>
            <w:r>
              <w:rPr>
                <w:rFonts w:hint="eastAsia"/>
                <w:sz w:val="21"/>
                <w:szCs w:val="21"/>
                <w:highlight w:val="none"/>
                <w:vertAlign w:val="baseline"/>
                <w:lang w:val="en-US" w:eastAsia="zh-CN"/>
              </w:rPr>
              <w:t>皮带宽：600-650mm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4.2.2</w:t>
            </w:r>
          </w:p>
        </w:tc>
        <w:tc>
          <w:tcPr>
            <w:tcW w:w="8620" w:type="dxa"/>
            <w:vAlign w:val="center"/>
          </w:tcPr>
          <w:p>
            <w:pPr>
              <w:adjustRightInd w:val="0"/>
              <w:snapToGrid w:val="0"/>
              <w:ind w:left="0" w:leftChars="0" w:right="0" w:rightChars="0"/>
              <w:jc w:val="both"/>
              <w:rPr>
                <w:rFonts w:hint="eastAsia"/>
                <w:highlight w:val="none"/>
              </w:rPr>
            </w:pPr>
            <w:r>
              <w:rPr>
                <w:rFonts w:hint="eastAsia"/>
                <w:sz w:val="21"/>
                <w:szCs w:val="21"/>
                <w:highlight w:val="none"/>
                <w:vertAlign w:val="baseline"/>
                <w:lang w:val="en-US" w:eastAsia="zh-CN"/>
              </w:rPr>
              <w:t>长度：10-12m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highlight w:val="none"/>
                <w:lang w:val="en-US" w:eastAsia="zh-CN"/>
              </w:rPr>
            </w:pPr>
            <w:r>
              <w:rPr>
                <w:rFonts w:hint="eastAsia"/>
                <w:highlight w:val="none"/>
                <w:lang w:val="en-US" w:eastAsia="zh-CN"/>
              </w:rPr>
              <w:t>4.2.3</w:t>
            </w:r>
          </w:p>
        </w:tc>
        <w:tc>
          <w:tcPr>
            <w:tcW w:w="8620" w:type="dxa"/>
            <w:vAlign w:val="center"/>
          </w:tcPr>
          <w:p>
            <w:pPr>
              <w:adjustRightInd w:val="0"/>
              <w:snapToGrid w:val="0"/>
              <w:ind w:left="0" w:leftChars="0" w:right="0" w:rightChars="0"/>
              <w:jc w:val="both"/>
              <w:rPr>
                <w:rFonts w:hint="eastAsia"/>
                <w:highlight w:val="none"/>
              </w:rPr>
            </w:pPr>
            <w:r>
              <w:rPr>
                <w:rFonts w:hint="eastAsia"/>
                <w:sz w:val="21"/>
                <w:szCs w:val="21"/>
                <w:highlight w:val="none"/>
                <w:vertAlign w:val="baseline"/>
                <w:lang w:val="en-US" w:eastAsia="zh-CN"/>
              </w:rPr>
              <w:t>宽度：约0.8m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4.2.4</w:t>
            </w: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r>
              <w:rPr>
                <w:rFonts w:hint="eastAsia"/>
                <w:sz w:val="21"/>
                <w:szCs w:val="21"/>
                <w:vertAlign w:val="baseline"/>
                <w:lang w:val="en-US" w:eastAsia="zh-CN"/>
              </w:rPr>
              <w:t>主架：8#槽钢，圆管护栏，V型托辊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4.2.5</w:t>
            </w: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r>
              <w:rPr>
                <w:rFonts w:hint="eastAsia"/>
                <w:sz w:val="21"/>
                <w:szCs w:val="21"/>
                <w:vertAlign w:val="baseline"/>
                <w:lang w:val="en-US" w:eastAsia="zh-CN"/>
              </w:rPr>
              <w:t>防滑带：黑色橡胶人字纹防滑带，厚8mm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4.2.6</w:t>
            </w: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r>
              <w:rPr>
                <w:rFonts w:hint="eastAsia"/>
                <w:sz w:val="21"/>
                <w:szCs w:val="21"/>
                <w:vertAlign w:val="baseline"/>
                <w:lang w:val="en-US" w:eastAsia="zh-CN"/>
              </w:rPr>
              <w:t>输送物料高度：2.5-4.5m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eastAsia="宋体"/>
                <w:lang w:val="en-US" w:eastAsia="zh-CN"/>
              </w:rPr>
            </w:pPr>
            <w:r>
              <w:rPr>
                <w:rFonts w:hint="eastAsia"/>
                <w:lang w:val="en-US" w:eastAsia="zh-CN"/>
              </w:rPr>
              <w:t>4.2.7</w:t>
            </w:r>
          </w:p>
        </w:tc>
        <w:tc>
          <w:tcPr>
            <w:tcW w:w="8620" w:type="dxa"/>
            <w:vAlign w:val="center"/>
          </w:tcPr>
          <w:p>
            <w:pPr>
              <w:adjustRightInd w:val="0"/>
              <w:snapToGrid w:val="0"/>
              <w:ind w:left="0" w:leftChars="0" w:right="0" w:rightChars="0"/>
              <w:jc w:val="both"/>
              <w:rPr>
                <w:rFonts w:hint="eastAsia" w:eastAsia="宋体"/>
                <w:lang w:eastAsia="zh-CN"/>
              </w:rPr>
            </w:pPr>
            <w:r>
              <w:rPr>
                <w:rFonts w:hint="eastAsia"/>
                <w:sz w:val="21"/>
                <w:szCs w:val="21"/>
                <w:vertAlign w:val="baseline"/>
                <w:lang w:val="en-US" w:eastAsia="zh-CN"/>
              </w:rPr>
              <w:t>输送能力：100t/h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4.2.8</w:t>
            </w: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r>
              <w:rPr>
                <w:rFonts w:hint="eastAsia"/>
                <w:sz w:val="21"/>
                <w:szCs w:val="21"/>
                <w:vertAlign w:val="baseline"/>
                <w:lang w:val="en-US" w:eastAsia="zh-CN"/>
              </w:rPr>
              <w:t>输送电机：4kw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4.2.9</w:t>
            </w: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r>
              <w:rPr>
                <w:rFonts w:hint="eastAsia"/>
                <w:sz w:val="21"/>
                <w:szCs w:val="21"/>
                <w:vertAlign w:val="baseline"/>
                <w:lang w:val="en-US" w:eastAsia="zh-CN"/>
              </w:rPr>
              <w:t>升降电机：3kw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4.2.10</w:t>
            </w: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r>
              <w:rPr>
                <w:rFonts w:hint="eastAsia"/>
                <w:sz w:val="21"/>
                <w:szCs w:val="21"/>
                <w:vertAlign w:val="baseline"/>
                <w:lang w:val="en-US" w:eastAsia="zh-CN"/>
              </w:rPr>
              <w:t>电机：电机设置防护罩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4.2.11</w:t>
            </w: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r>
              <w:rPr>
                <w:rFonts w:hint="eastAsia"/>
                <w:sz w:val="21"/>
                <w:szCs w:val="21"/>
                <w:vertAlign w:val="baseline"/>
                <w:lang w:val="en-US" w:eastAsia="zh-CN"/>
              </w:rPr>
              <w:t>移动方式：能够通过小轮移动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4.2.12</w:t>
            </w: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r>
              <w:rPr>
                <w:rFonts w:hint="eastAsia"/>
                <w:sz w:val="21"/>
                <w:szCs w:val="21"/>
                <w:vertAlign w:val="baseline"/>
                <w:lang w:val="en-US" w:eastAsia="zh-CN"/>
              </w:rPr>
              <w:t>电器开关：具有安全防护电器控制箱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4.2.13</w:t>
            </w:r>
          </w:p>
        </w:tc>
        <w:tc>
          <w:tcPr>
            <w:tcW w:w="8620" w:type="dxa"/>
            <w:vAlign w:val="center"/>
          </w:tcPr>
          <w:p>
            <w:pPr>
              <w:ind w:left="0" w:leftChars="0" w:right="0" w:rightChars="0"/>
              <w:jc w:val="both"/>
              <w:rPr>
                <w:rFonts w:hint="default" w:ascii="宋体" w:hAnsi="宋体" w:cs="黑体" w:eastAsiaTheme="minorEastAsia"/>
                <w:sz w:val="22"/>
                <w:szCs w:val="22"/>
                <w:highlight w:val="none"/>
                <w:lang w:val="en-US" w:eastAsia="zh-CN" w:bidi="zh-CN"/>
              </w:rPr>
            </w:pPr>
            <w:r>
              <w:rPr>
                <w:rFonts w:hint="eastAsia" w:ascii="宋体" w:hAnsi="宋体" w:cs="宋体"/>
                <w:szCs w:val="21"/>
                <w:highlight w:val="none"/>
              </w:rPr>
              <w:t>交货期：</w:t>
            </w:r>
            <w:r>
              <w:rPr>
                <w:rFonts w:hint="eastAsia" w:ascii="宋体" w:hAnsi="宋体" w:cs="宋体"/>
                <w:szCs w:val="21"/>
                <w:highlight w:val="none"/>
                <w:lang w:val="en-US" w:eastAsia="zh-CN"/>
              </w:rPr>
              <w:t>65个工作日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ascii="宋体" w:hAnsi="宋体" w:eastAsia="宋体" w:cs="宋体"/>
                <w:sz w:val="22"/>
                <w:szCs w:val="22"/>
                <w:lang w:val="en-US" w:eastAsia="zh-CN" w:bidi="zh-CN"/>
              </w:rPr>
            </w:pPr>
            <w:r>
              <w:rPr>
                <w:rFonts w:hint="eastAsia" w:cs="宋体"/>
                <w:sz w:val="22"/>
                <w:szCs w:val="22"/>
                <w:lang w:val="en-US" w:eastAsia="zh-CN" w:bidi="zh-CN"/>
              </w:rPr>
              <w:t>4.2.14</w:t>
            </w:r>
          </w:p>
        </w:tc>
        <w:tc>
          <w:tcPr>
            <w:tcW w:w="8620" w:type="dxa"/>
            <w:vAlign w:val="center"/>
          </w:tcPr>
          <w:p>
            <w:pPr>
              <w:ind w:left="0" w:leftChars="0" w:right="0" w:rightChars="0"/>
              <w:jc w:val="both"/>
              <w:rPr>
                <w:rFonts w:hint="eastAsia" w:ascii="宋体" w:hAnsi="宋体" w:eastAsia="宋体" w:cs="黑体"/>
                <w:sz w:val="22"/>
                <w:szCs w:val="22"/>
                <w:highlight w:val="none"/>
                <w:lang w:val="en-US" w:eastAsia="zh-CN" w:bidi="zh-CN"/>
              </w:rPr>
            </w:pPr>
            <w:r>
              <w:rPr>
                <w:rFonts w:hint="eastAsia" w:ascii="宋体" w:hAnsi="宋体" w:cs="宋体"/>
                <w:szCs w:val="21"/>
                <w:highlight w:val="none"/>
              </w:rPr>
              <w:t>质保期：</w:t>
            </w:r>
            <w:r>
              <w:rPr>
                <w:rFonts w:hint="eastAsia" w:cs="宋体"/>
                <w:szCs w:val="21"/>
                <w:highlight w:val="none"/>
                <w:lang w:val="en-US" w:eastAsia="zh-CN"/>
              </w:rPr>
              <w:t>24</w:t>
            </w:r>
            <w:r>
              <w:rPr>
                <w:rFonts w:hint="eastAsia" w:ascii="宋体" w:hAnsi="宋体" w:cs="宋体"/>
                <w:szCs w:val="21"/>
                <w:highlight w:val="none"/>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p>
        </w:tc>
        <w:tc>
          <w:tcPr>
            <w:tcW w:w="8620" w:type="dxa"/>
            <w:vAlign w:val="center"/>
          </w:tcPr>
          <w:p>
            <w:pPr>
              <w:adjustRightInd w:val="0"/>
              <w:snapToGrid w:val="0"/>
              <w:ind w:left="0" w:leftChars="0" w:right="0" w:rightChars="0"/>
              <w:jc w:val="both"/>
              <w:rPr>
                <w:rFonts w:hint="eastAsia" w:ascii="宋体" w:hAnsi="宋体" w:eastAsia="宋体" w:cs="宋体"/>
                <w:sz w:val="22"/>
                <w:szCs w:val="22"/>
                <w:lang w:val="en-US" w:eastAsia="zh-CN" w:bidi="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vAlign w:val="center"/>
          </w:tcPr>
          <w:p>
            <w:pPr>
              <w:adjustRightInd w:val="0"/>
              <w:snapToGrid w:val="0"/>
              <w:ind w:left="0" w:leftChars="0" w:right="0" w:rightChars="0"/>
              <w:jc w:val="both"/>
              <w:rPr>
                <w:rFonts w:hint="default"/>
                <w:lang w:val="en-US"/>
              </w:rPr>
            </w:pPr>
          </w:p>
        </w:tc>
        <w:tc>
          <w:tcPr>
            <w:tcW w:w="8620" w:type="dxa"/>
            <w:vAlign w:val="center"/>
          </w:tcPr>
          <w:p>
            <w:pPr>
              <w:adjustRightInd w:val="0"/>
              <w:snapToGrid w:val="0"/>
              <w:ind w:left="0" w:leftChars="0" w:right="0" w:rightChars="0"/>
              <w:jc w:val="both"/>
              <w:rPr>
                <w:rFonts w:hint="eastAsia"/>
              </w:rPr>
            </w:pPr>
          </w:p>
        </w:tc>
      </w:tr>
    </w:tbl>
    <w:p>
      <w:pPr>
        <w:rPr>
          <w:rFonts w:ascii="Times New Roman" w:hAnsi="Times New Roman" w:eastAsia="宋体" w:cs="Times New Roman"/>
        </w:rPr>
      </w:pPr>
    </w:p>
    <w:p>
      <w:pPr>
        <w:pStyle w:val="2"/>
      </w:pPr>
    </w:p>
    <w:p>
      <w:pPr>
        <w:adjustRightInd w:val="0"/>
        <w:spacing w:line="340" w:lineRule="exact"/>
        <w:ind w:left="6" w:hanging="6"/>
        <w:rPr>
          <w:szCs w:val="21"/>
        </w:rPr>
      </w:pPr>
      <w:r>
        <w:rPr>
          <w:rFonts w:hint="eastAsia"/>
          <w:szCs w:val="21"/>
        </w:rPr>
        <w:t>备注：</w:t>
      </w:r>
    </w:p>
    <w:p>
      <w:pPr>
        <w:adjustRightInd w:val="0"/>
        <w:spacing w:line="340" w:lineRule="exact"/>
        <w:ind w:left="6" w:leftChars="3" w:firstLine="420" w:firstLineChars="200"/>
        <w:rPr>
          <w:rFonts w:ascii="宋体" w:hAnsi="宋体"/>
          <w:szCs w:val="21"/>
        </w:rPr>
      </w:pPr>
      <w:r>
        <w:rPr>
          <w:rFonts w:hint="eastAsia" w:ascii="宋体" w:hAnsi="宋体"/>
          <w:szCs w:val="21"/>
        </w:rPr>
        <w:t>本货物需求一览表中标注★号的内容为评标的实质性要求和条件，投标人必须完全响应，投标人有一项不满足的，其投标将被否决。未标注★号的内容为一般技术指标,必须满足90%以上，</w:t>
      </w:r>
      <w:r>
        <w:rPr>
          <w:rFonts w:hint="eastAsia"/>
          <w:szCs w:val="21"/>
        </w:rPr>
        <w:t xml:space="preserve"> 带</w:t>
      </w:r>
      <w:r>
        <w:rPr>
          <w:rFonts w:hint="eastAsia" w:ascii="宋体" w:hAnsi="宋体"/>
          <w:szCs w:val="21"/>
        </w:rPr>
        <w:t>★</w:t>
      </w:r>
      <w:r>
        <w:rPr>
          <w:rFonts w:hint="eastAsia"/>
          <w:szCs w:val="21"/>
        </w:rPr>
        <w:t>号技术参数必须完全满足,</w:t>
      </w:r>
      <w:r>
        <w:rPr>
          <w:rFonts w:hint="eastAsia" w:ascii="Times New Roman" w:hAnsi="Times New Roman" w:eastAsia="宋体" w:cs="Times New Roman"/>
          <w:szCs w:val="21"/>
        </w:rPr>
        <w:t>每项技术参数响应应该标明技术支持的页码。</w:t>
      </w:r>
    </w:p>
    <w:p>
      <w:pPr>
        <w:spacing w:line="560" w:lineRule="exact"/>
        <w:jc w:val="left"/>
        <w:rPr>
          <w:rFonts w:ascii="宋体" w:hAnsi="宋体" w:cs="方正小标宋简体"/>
          <w:b/>
          <w:szCs w:val="21"/>
        </w:rPr>
      </w:pPr>
      <w:r>
        <w:rPr>
          <w:rFonts w:hint="eastAsia" w:ascii="宋体" w:hAnsi="宋体" w:cs="方正小标宋简体"/>
          <w:b/>
          <w:szCs w:val="21"/>
        </w:rPr>
        <w:t>1.基本要求</w:t>
      </w:r>
    </w:p>
    <w:p>
      <w:pPr>
        <w:spacing w:line="560" w:lineRule="exact"/>
        <w:ind w:firstLine="420" w:firstLineChars="200"/>
        <w:jc w:val="left"/>
        <w:rPr>
          <w:rFonts w:ascii="宋体" w:hAnsi="宋体" w:cs="方正小标宋简体"/>
          <w:bCs/>
          <w:szCs w:val="21"/>
        </w:rPr>
      </w:pPr>
      <w:bookmarkStart w:id="79" w:name="_Toc3125"/>
      <w:bookmarkStart w:id="80" w:name="_Toc27869"/>
      <w:r>
        <w:rPr>
          <w:rFonts w:ascii="宋体" w:hAnsi="宋体" w:cs="方正小标宋简体"/>
          <w:bCs/>
          <w:szCs w:val="21"/>
        </w:rPr>
        <w:t>产品应为经过国家行业主管部门认证的定型产品，列入《中华人民共和国发改委车辆生产企业及产品公告》，产品具备国家3C认证和环保认证</w:t>
      </w:r>
      <w:r>
        <w:rPr>
          <w:rFonts w:hint="eastAsia" w:ascii="宋体" w:hAnsi="宋体" w:cs="方正小标宋简体"/>
          <w:bCs/>
          <w:szCs w:val="21"/>
        </w:rPr>
        <w:t>。</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 机械设计合理，制造工艺先进，安全装置齐全可靠。</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1.2部分总成件采用进口件或具有国际先进水平并提供书面证明。</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1.3操作灵便，可维护性强。</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1.4.标准配置包括保证车辆设备正常工作所需的附件、工具和随机备件，并有装箱单。</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1.5随机配有车辆设备使用保养说明书、发动机保养说明书和零部件图册。</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1.6有可供用户和供应商双方操作的验收标准或条款。</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1.7所供车辆的漆面必须是原厂漆面、应清洁光亮；不得有脱漆、色差、划痕和瘪窝。</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1.8车辆内部的座椅及其他内饰件应完整清洁．不得有划伤、污点，使用时应方便灵活。</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1.9.车辆内、外部的灯光应齐全、有效。</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1.10车辆在运行过程中不得有异常响声，制动装置(包括手制动)和转向应灵活、有效；其动力性能和经济性能应符合设计要求；尾气排放达到国Ⅴ及以上标准，噪声符合现行中国标准。</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1.11报价人应主动协助使用方对车辆进行检验，查验发动机号、底盘号，交付所有证件、工具和主、副钥匙，并提供不少于 50 升的燃油。报价人应准确把握安徽当地机动车登记注册政策，所有车辆应具有国家规定的合法的上牌照手续，保证所有车辆能上牌照。</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1.12报价人应主动协助使用方做好新车辆的走合期保养，车辆发生故障时，报价人应主动与制造厂联系解决索赔问题。</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1.13车辆设备在使用过程中如零部件发生丢失和损坏，报价人应主动协助使用方操作人员按优惠价格配置原制造厂生产的优质零部件。</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1.14车辆交付为整车，含出厂标准配置和厂家选装配置（若买方要求且出厂不含）及特殊要求配置（若买方要求且厂家没有时可另购加装）</w:t>
      </w:r>
    </w:p>
    <w:p>
      <w:pPr>
        <w:spacing w:line="560" w:lineRule="exact"/>
        <w:ind w:firstLine="422" w:firstLineChars="200"/>
        <w:jc w:val="left"/>
        <w:rPr>
          <w:rFonts w:ascii="宋体" w:hAnsi="宋体" w:cs="方正小标宋简体"/>
          <w:bCs/>
          <w:szCs w:val="21"/>
        </w:rPr>
      </w:pPr>
      <w:r>
        <w:rPr>
          <w:rFonts w:hint="eastAsia" w:ascii="宋体" w:hAnsi="宋体" w:cs="方正小标宋简体"/>
          <w:b/>
          <w:szCs w:val="21"/>
        </w:rPr>
        <w:t>2.主要技术参数与要求</w:t>
      </w:r>
      <w:bookmarkEnd w:id="79"/>
      <w:bookmarkEnd w:id="80"/>
    </w:p>
    <w:p>
      <w:pPr>
        <w:spacing w:line="560" w:lineRule="exact"/>
        <w:ind w:firstLine="420" w:firstLineChars="200"/>
        <w:jc w:val="left"/>
        <w:rPr>
          <w:rFonts w:ascii="宋体" w:hAnsi="宋体" w:cs="方正小标宋简体"/>
          <w:bCs/>
          <w:szCs w:val="21"/>
        </w:rPr>
      </w:pPr>
      <w:bookmarkStart w:id="81" w:name="_Toc28261"/>
      <w:bookmarkStart w:id="82" w:name="_Toc25299"/>
      <w:r>
        <w:rPr>
          <w:rFonts w:hint="eastAsia" w:ascii="宋体" w:hAnsi="宋体" w:cs="方正小标宋简体"/>
          <w:bCs/>
          <w:szCs w:val="21"/>
        </w:rPr>
        <w:t>2.1 参见“设备选型、技术指标一览表”的内容，需对其中所列各项指标和要求逐项明确响应。技术参数要求中加“*”的项目，是满足技术规格的最低要求。未加“*”的项目，不可缺省。</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2.2车底盘</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2.2.1要求选用已上目录的国产定型二类底盘，驾驶室内应有空调、收放机等设备；</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2.2.2在改装中，对底盘的主要结构不得进行伤害性改动，整车的动力性、安全性、经济性、操纵性能及环保性能等主要技术指标在同比条件下不得低于原底盘的相应指标。</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2.2.3报价文件中对 2.（1）中所列各项指标和要求须作逐项明确响应。</w:t>
      </w:r>
    </w:p>
    <w:p>
      <w:pPr>
        <w:spacing w:line="560" w:lineRule="exact"/>
        <w:ind w:firstLine="422" w:firstLineChars="200"/>
        <w:jc w:val="left"/>
        <w:rPr>
          <w:rFonts w:ascii="宋体" w:hAnsi="宋体" w:cs="方正小标宋简体"/>
          <w:b/>
          <w:szCs w:val="21"/>
        </w:rPr>
      </w:pPr>
      <w:r>
        <w:rPr>
          <w:rFonts w:hint="eastAsia" w:ascii="宋体" w:hAnsi="宋体" w:cs="方正小标宋简体"/>
          <w:b/>
          <w:szCs w:val="21"/>
        </w:rPr>
        <w:t>3.技术服务范围及验收标准</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3.1车辆规格性能均应符合或优于本标书的要求且为“零公里”新车，交货时每辆车须带≥50升燃油。</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3.2厂家提供使用说明书及维修手册1套。</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3.3厂家出示检验报告及合格证明。</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3.4外观上灯光和仪表应灵敏、完整、清晰、准确，整机涂漆光泽均匀、无油漆脱落锈蚀、碰伤，附具齐全完整。</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3.5各部件性能可靠，无渗漏，无异响，转动灵活，制动良好。</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3.6验收期限：交货后一周内。</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3.7提供到货天数：合同签订后</w:t>
      </w:r>
      <w:r>
        <w:rPr>
          <w:rFonts w:hint="eastAsia" w:ascii="宋体" w:hAnsi="宋体" w:cs="方正小标宋简体"/>
          <w:bCs/>
          <w:szCs w:val="21"/>
          <w:lang w:val="en-US" w:eastAsia="zh-CN"/>
        </w:rPr>
        <w:t>65</w:t>
      </w:r>
      <w:r>
        <w:rPr>
          <w:rFonts w:hint="eastAsia" w:ascii="宋体" w:hAnsi="宋体" w:cs="方正小标宋简体"/>
          <w:bCs/>
          <w:szCs w:val="21"/>
        </w:rPr>
        <w:t>个工作日。</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3.8提供交货前办理相关天数（收到中标通知起，货到并办完所有入户相关费用后最快天数）：合同签订后</w:t>
      </w:r>
      <w:r>
        <w:rPr>
          <w:rFonts w:hint="eastAsia" w:ascii="宋体" w:hAnsi="宋体" w:cs="方正小标宋简体"/>
          <w:bCs/>
          <w:szCs w:val="21"/>
          <w:lang w:val="en-US" w:eastAsia="zh-CN"/>
        </w:rPr>
        <w:t>65</w:t>
      </w:r>
      <w:r>
        <w:rPr>
          <w:rFonts w:hint="eastAsia" w:ascii="宋体" w:hAnsi="宋体" w:cs="方正小标宋简体"/>
          <w:bCs/>
          <w:szCs w:val="21"/>
        </w:rPr>
        <w:t>个工作日。</w:t>
      </w:r>
    </w:p>
    <w:p>
      <w:pPr>
        <w:spacing w:line="560" w:lineRule="exact"/>
        <w:ind w:firstLine="422" w:firstLineChars="200"/>
        <w:jc w:val="left"/>
        <w:rPr>
          <w:rFonts w:ascii="宋体" w:hAnsi="宋体" w:cs="方正小标宋简体"/>
          <w:b/>
          <w:szCs w:val="21"/>
        </w:rPr>
      </w:pPr>
      <w:r>
        <w:rPr>
          <w:rFonts w:hint="eastAsia" w:ascii="宋体" w:hAnsi="宋体" w:cs="方正小标宋简体"/>
          <w:b/>
          <w:szCs w:val="21"/>
        </w:rPr>
        <w:t>4.培训要求基本服务要求</w:t>
      </w:r>
      <w:bookmarkEnd w:id="81"/>
      <w:bookmarkEnd w:id="82"/>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4.1车辆（设备）安全操作规范、安全操作程序、用途、结构及维护和保养方法。</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4.2指导需方操作人员进行模拟操作及对不同事故的处理；</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4.3培训计划：不少于7天的理论和实际操作培训，保证参训人员熟练操作，懂得日常维保及维修，熟悉各部件功能，能够发现故障，能够准确与厂家技术人员进行技术沟通的能力。</w:t>
      </w:r>
    </w:p>
    <w:p>
      <w:pPr>
        <w:spacing w:line="560" w:lineRule="exact"/>
        <w:ind w:firstLine="422" w:firstLineChars="200"/>
        <w:jc w:val="left"/>
        <w:rPr>
          <w:rFonts w:ascii="宋体" w:hAnsi="宋体" w:cs="方正小标宋简体"/>
          <w:b/>
          <w:szCs w:val="21"/>
        </w:rPr>
      </w:pPr>
      <w:bookmarkStart w:id="83" w:name="_Toc29210"/>
      <w:bookmarkStart w:id="84" w:name="_Toc2123"/>
      <w:r>
        <w:rPr>
          <w:rFonts w:hint="eastAsia" w:ascii="宋体" w:hAnsi="宋体" w:cs="方正小标宋简体"/>
          <w:b/>
          <w:szCs w:val="21"/>
        </w:rPr>
        <w:t>5.质保期及售后服务</w:t>
      </w:r>
      <w:bookmarkEnd w:id="83"/>
      <w:bookmarkEnd w:id="84"/>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5.1设备（易损件除外）质保期见技术指标一览表；若厂家公开承诺质保期更长的，质保期从其承诺；质保期自设备验收合格之日起计。</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5.2在质保期内，接到需方服务信息后，2个小时内应做出明确回复，24小时内到达现场，72小时内处理完毕。</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5.3质保期内的维修工时及材料费用、维修人员的差旅费、宿费等由供方承担。</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5.4在质保期内，如设备或零部件因非人力因素出现故障而造成短期停用，则质保期和免费维修期相应顺延。</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5.5质保期内，供方在春运前和夏季高温天气期间免费进行 2 次/年全面维保工作。</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5.6质保期外出现故障时，供方应按质保期内时效规定提供维修服务，以优惠价格收取材料费及人工费。</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5.7售后服务：完善售后服务计划，每年不少于两次质量回访，提供维护保养报告，给予终身技术指导。</w:t>
      </w:r>
    </w:p>
    <w:p>
      <w:pPr>
        <w:pStyle w:val="2"/>
        <w:rPr>
          <w:rFonts w:ascii="宋体" w:hAnsi="宋体" w:cs="方正小标宋简体"/>
          <w:bCs/>
          <w:szCs w:val="21"/>
        </w:rPr>
      </w:pPr>
    </w:p>
    <w:p>
      <w:pPr>
        <w:pStyle w:val="2"/>
        <w:rPr>
          <w:rFonts w:ascii="宋体" w:hAnsi="宋体" w:cs="方正小标宋简体"/>
          <w:bCs/>
          <w:szCs w:val="21"/>
        </w:rPr>
      </w:pPr>
    </w:p>
    <w:p>
      <w:pPr>
        <w:pStyle w:val="10"/>
        <w:spacing w:line="360" w:lineRule="auto"/>
        <w:jc w:val="both"/>
        <w:rPr>
          <w:rFonts w:ascii="仿宋" w:hAnsi="仿宋" w:eastAsia="仿宋" w:cs="仿宋"/>
          <w:b/>
          <w:bCs/>
          <w:sz w:val="30"/>
          <w:szCs w:val="30"/>
        </w:rPr>
      </w:pPr>
    </w:p>
    <w:p>
      <w:pPr>
        <w:pStyle w:val="10"/>
        <w:spacing w:line="360" w:lineRule="auto"/>
        <w:jc w:val="both"/>
        <w:rPr>
          <w:rFonts w:ascii="仿宋" w:hAnsi="仿宋" w:eastAsia="仿宋" w:cs="仿宋"/>
          <w:b/>
          <w:bCs/>
          <w:sz w:val="30"/>
          <w:szCs w:val="30"/>
        </w:rPr>
      </w:pPr>
    </w:p>
    <w:p>
      <w:pPr>
        <w:pStyle w:val="10"/>
        <w:spacing w:line="360" w:lineRule="auto"/>
        <w:jc w:val="both"/>
        <w:rPr>
          <w:rFonts w:ascii="仿宋" w:hAnsi="仿宋" w:eastAsia="仿宋" w:cs="仿宋"/>
          <w:b/>
          <w:bCs/>
          <w:sz w:val="30"/>
          <w:szCs w:val="30"/>
        </w:rPr>
      </w:pPr>
    </w:p>
    <w:p>
      <w:pPr>
        <w:pStyle w:val="10"/>
        <w:numPr>
          <w:ilvl w:val="0"/>
          <w:numId w:val="4"/>
        </w:numPr>
        <w:spacing w:line="360" w:lineRule="auto"/>
        <w:ind w:firstLine="904" w:firstLineChars="300"/>
        <w:jc w:val="both"/>
        <w:rPr>
          <w:rFonts w:ascii="仿宋" w:hAnsi="仿宋" w:eastAsia="仿宋" w:cs="仿宋"/>
          <w:b/>
          <w:bCs/>
          <w:sz w:val="30"/>
          <w:szCs w:val="30"/>
        </w:rPr>
      </w:pPr>
      <w:r>
        <w:rPr>
          <w:rFonts w:hint="eastAsia" w:ascii="仿宋" w:hAnsi="仿宋" w:eastAsia="仿宋" w:cs="仿宋"/>
          <w:b/>
          <w:bCs/>
          <w:sz w:val="30"/>
          <w:szCs w:val="30"/>
        </w:rPr>
        <w:t>采购清单</w:t>
      </w:r>
    </w:p>
    <w:tbl>
      <w:tblPr>
        <w:tblStyle w:val="13"/>
        <w:tblpPr w:leftFromText="180" w:rightFromText="180" w:vertAnchor="text" w:horzAnchor="page" w:tblpX="1654" w:tblpY="67"/>
        <w:tblOverlap w:val="never"/>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344"/>
        <w:gridCol w:w="1061"/>
        <w:gridCol w:w="1290"/>
        <w:gridCol w:w="885"/>
        <w:gridCol w:w="1009"/>
        <w:gridCol w:w="95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jc w:val="center"/>
              <w:rPr>
                <w:sz w:val="30"/>
                <w:szCs w:val="30"/>
              </w:rPr>
            </w:pPr>
            <w:r>
              <w:rPr>
                <w:rFonts w:hint="eastAsia"/>
                <w:sz w:val="30"/>
                <w:szCs w:val="30"/>
              </w:rPr>
              <w:t>序号</w:t>
            </w:r>
          </w:p>
        </w:tc>
        <w:tc>
          <w:tcPr>
            <w:tcW w:w="2344" w:type="dxa"/>
            <w:vAlign w:val="center"/>
          </w:tcPr>
          <w:p>
            <w:pPr>
              <w:jc w:val="center"/>
              <w:rPr>
                <w:sz w:val="30"/>
                <w:szCs w:val="30"/>
              </w:rPr>
            </w:pPr>
            <w:r>
              <w:rPr>
                <w:rFonts w:hint="eastAsia"/>
                <w:sz w:val="30"/>
                <w:szCs w:val="30"/>
              </w:rPr>
              <w:t>名称</w:t>
            </w:r>
          </w:p>
        </w:tc>
        <w:tc>
          <w:tcPr>
            <w:tcW w:w="1061" w:type="dxa"/>
            <w:vAlign w:val="center"/>
          </w:tcPr>
          <w:p>
            <w:pPr>
              <w:jc w:val="center"/>
              <w:rPr>
                <w:sz w:val="30"/>
                <w:szCs w:val="30"/>
              </w:rPr>
            </w:pPr>
            <w:r>
              <w:rPr>
                <w:rFonts w:hint="eastAsia"/>
                <w:sz w:val="30"/>
                <w:szCs w:val="30"/>
              </w:rPr>
              <w:t>品牌型号</w:t>
            </w:r>
          </w:p>
        </w:tc>
        <w:tc>
          <w:tcPr>
            <w:tcW w:w="1290" w:type="dxa"/>
            <w:vAlign w:val="center"/>
          </w:tcPr>
          <w:p>
            <w:pPr>
              <w:jc w:val="center"/>
              <w:rPr>
                <w:sz w:val="30"/>
                <w:szCs w:val="30"/>
              </w:rPr>
            </w:pPr>
            <w:r>
              <w:rPr>
                <w:rFonts w:hint="eastAsia"/>
                <w:sz w:val="30"/>
                <w:szCs w:val="30"/>
              </w:rPr>
              <w:t>单位</w:t>
            </w:r>
          </w:p>
        </w:tc>
        <w:tc>
          <w:tcPr>
            <w:tcW w:w="885" w:type="dxa"/>
            <w:vAlign w:val="center"/>
          </w:tcPr>
          <w:p>
            <w:pPr>
              <w:jc w:val="center"/>
              <w:rPr>
                <w:sz w:val="30"/>
                <w:szCs w:val="30"/>
              </w:rPr>
            </w:pPr>
            <w:r>
              <w:rPr>
                <w:rFonts w:hint="eastAsia"/>
                <w:sz w:val="30"/>
                <w:szCs w:val="30"/>
              </w:rPr>
              <w:t>数量</w:t>
            </w:r>
          </w:p>
        </w:tc>
        <w:tc>
          <w:tcPr>
            <w:tcW w:w="1009" w:type="dxa"/>
            <w:vAlign w:val="center"/>
          </w:tcPr>
          <w:p>
            <w:pPr>
              <w:jc w:val="center"/>
              <w:rPr>
                <w:sz w:val="30"/>
                <w:szCs w:val="30"/>
              </w:rPr>
            </w:pPr>
            <w:r>
              <w:rPr>
                <w:rFonts w:hint="eastAsia"/>
                <w:sz w:val="30"/>
                <w:szCs w:val="30"/>
              </w:rPr>
              <w:t>颜色</w:t>
            </w:r>
          </w:p>
        </w:tc>
        <w:tc>
          <w:tcPr>
            <w:tcW w:w="956" w:type="dxa"/>
            <w:vAlign w:val="center"/>
          </w:tcPr>
          <w:p>
            <w:pPr>
              <w:jc w:val="center"/>
              <w:rPr>
                <w:sz w:val="30"/>
                <w:szCs w:val="30"/>
              </w:rPr>
            </w:pPr>
            <w:r>
              <w:rPr>
                <w:rFonts w:hint="eastAsia"/>
                <w:sz w:val="30"/>
                <w:szCs w:val="30"/>
              </w:rPr>
              <w:t>单价</w:t>
            </w:r>
          </w:p>
        </w:tc>
        <w:tc>
          <w:tcPr>
            <w:tcW w:w="1294"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1</w:t>
            </w:r>
          </w:p>
        </w:tc>
        <w:tc>
          <w:tcPr>
            <w:tcW w:w="2344" w:type="dxa"/>
            <w:vAlign w:val="center"/>
          </w:tcPr>
          <w:p>
            <w:pPr>
              <w:widowControl/>
              <w:jc w:val="center"/>
              <w:textAlignment w:val="center"/>
              <w:rPr>
                <w:rFonts w:ascii="宋体" w:hAnsi="宋体" w:cs="宋体"/>
                <w:color w:val="FF0000"/>
                <w:sz w:val="24"/>
              </w:rPr>
            </w:pPr>
            <w:r>
              <w:rPr>
                <w:rFonts w:hint="eastAsia"/>
                <w:sz w:val="24"/>
              </w:rPr>
              <w:t>除雪车</w:t>
            </w:r>
          </w:p>
        </w:tc>
        <w:tc>
          <w:tcPr>
            <w:tcW w:w="1061" w:type="dxa"/>
            <w:vAlign w:val="center"/>
          </w:tcPr>
          <w:p>
            <w:pPr>
              <w:widowControl/>
              <w:jc w:val="center"/>
              <w:textAlignment w:val="center"/>
              <w:rPr>
                <w:rFonts w:cs="宋体"/>
                <w:sz w:val="24"/>
              </w:rPr>
            </w:pPr>
          </w:p>
        </w:tc>
        <w:tc>
          <w:tcPr>
            <w:tcW w:w="1290" w:type="dxa"/>
            <w:vAlign w:val="center"/>
          </w:tcPr>
          <w:p>
            <w:pPr>
              <w:jc w:val="center"/>
              <w:rPr>
                <w:rFonts w:ascii="宋体" w:hAnsi="宋体" w:eastAsia="宋体" w:cs="宋体"/>
                <w:sz w:val="24"/>
              </w:rPr>
            </w:pPr>
            <w:r>
              <w:rPr>
                <w:rFonts w:hint="eastAsia" w:ascii="宋体" w:hAnsi="宋体" w:eastAsia="宋体" w:cs="宋体"/>
                <w:sz w:val="24"/>
              </w:rPr>
              <w:t>台</w:t>
            </w:r>
          </w:p>
        </w:tc>
        <w:tc>
          <w:tcPr>
            <w:tcW w:w="885" w:type="dxa"/>
            <w:vAlign w:val="center"/>
          </w:tcPr>
          <w:p>
            <w:pPr>
              <w:jc w:val="center"/>
              <w:rPr>
                <w:rFonts w:hint="eastAsia" w:ascii="宋体" w:hAnsi="宋体" w:eastAsia="宋体" w:cs="宋体"/>
                <w:sz w:val="24"/>
                <w:lang w:eastAsia="zh-CN"/>
              </w:rPr>
            </w:pPr>
            <w:r>
              <w:rPr>
                <w:rFonts w:hint="eastAsia" w:ascii="宋体" w:hAnsi="宋体" w:eastAsia="宋体" w:cs="宋体"/>
                <w:sz w:val="24"/>
                <w:lang w:val="en-US" w:eastAsia="zh-CN"/>
              </w:rPr>
              <w:t>2</w:t>
            </w:r>
          </w:p>
        </w:tc>
        <w:tc>
          <w:tcPr>
            <w:tcW w:w="1009" w:type="dxa"/>
            <w:vAlign w:val="center"/>
          </w:tcPr>
          <w:p>
            <w:pPr>
              <w:spacing w:before="100" w:beforeAutospacing="1" w:after="100" w:afterAutospacing="1" w:line="300" w:lineRule="exact"/>
              <w:jc w:val="center"/>
              <w:rPr>
                <w:rFonts w:cs="宋体"/>
                <w:sz w:val="24"/>
              </w:rPr>
            </w:pPr>
            <w:r>
              <w:rPr>
                <w:rFonts w:hint="eastAsia" w:cs="宋体"/>
                <w:sz w:val="24"/>
              </w:rPr>
              <w:t>工程黄</w:t>
            </w:r>
          </w:p>
        </w:tc>
        <w:tc>
          <w:tcPr>
            <w:tcW w:w="956" w:type="dxa"/>
            <w:vAlign w:val="center"/>
          </w:tcPr>
          <w:p>
            <w:pPr>
              <w:jc w:val="center"/>
              <w:rPr>
                <w:sz w:val="30"/>
                <w:szCs w:val="30"/>
              </w:rPr>
            </w:pPr>
          </w:p>
        </w:tc>
        <w:tc>
          <w:tcPr>
            <w:tcW w:w="1294"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497" w:type="dxa"/>
            <w:vAlign w:val="center"/>
          </w:tcPr>
          <w:p>
            <w:pPr>
              <w:spacing w:before="100" w:beforeAutospacing="1" w:after="100" w:afterAutospacing="1" w:line="360" w:lineRule="auto"/>
              <w:jc w:val="center"/>
              <w:rPr>
                <w:rFonts w:hint="eastAsia" w:ascii="宋体" w:hAnsi="宋体" w:eastAsia="宋体" w:cs="宋体"/>
                <w:sz w:val="24"/>
                <w:lang w:val="en-US" w:eastAsia="zh-CN"/>
              </w:rPr>
            </w:pPr>
            <w:bookmarkStart w:id="85" w:name="_Toc9834_WPSOffice_Level1"/>
            <w:r>
              <w:rPr>
                <w:rFonts w:hint="eastAsia" w:ascii="宋体" w:hAnsi="宋体" w:eastAsia="宋体" w:cs="宋体"/>
                <w:sz w:val="24"/>
                <w:lang w:val="en-US" w:eastAsia="zh-CN"/>
              </w:rPr>
              <w:t>2</w:t>
            </w:r>
          </w:p>
        </w:tc>
        <w:tc>
          <w:tcPr>
            <w:tcW w:w="2344" w:type="dxa"/>
            <w:vAlign w:val="center"/>
          </w:tcPr>
          <w:p>
            <w:pPr>
              <w:widowControl/>
              <w:jc w:val="center"/>
              <w:textAlignment w:val="center"/>
              <w:rPr>
                <w:rFonts w:hint="eastAsia" w:ascii="宋体" w:hAnsi="宋体" w:eastAsia="宋体" w:cs="宋体"/>
                <w:sz w:val="24"/>
                <w:lang w:eastAsia="zh-CN"/>
              </w:rPr>
            </w:pPr>
            <w:r>
              <w:rPr>
                <w:rFonts w:hint="eastAsia" w:ascii="宋体" w:hAnsi="宋体" w:eastAsia="宋体" w:cs="宋体"/>
                <w:sz w:val="24"/>
                <w:lang w:eastAsia="zh-CN"/>
              </w:rPr>
              <w:t>融雪剂撒布机</w:t>
            </w:r>
          </w:p>
        </w:tc>
        <w:tc>
          <w:tcPr>
            <w:tcW w:w="1061" w:type="dxa"/>
            <w:vAlign w:val="center"/>
          </w:tcPr>
          <w:p>
            <w:pPr>
              <w:widowControl/>
              <w:jc w:val="center"/>
              <w:textAlignment w:val="center"/>
              <w:rPr>
                <w:rFonts w:cs="宋体"/>
                <w:sz w:val="24"/>
              </w:rPr>
            </w:pPr>
          </w:p>
        </w:tc>
        <w:tc>
          <w:tcPr>
            <w:tcW w:w="1290" w:type="dxa"/>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台</w:t>
            </w:r>
          </w:p>
        </w:tc>
        <w:tc>
          <w:tcPr>
            <w:tcW w:w="88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1009" w:type="dxa"/>
            <w:vAlign w:val="center"/>
          </w:tcPr>
          <w:p>
            <w:pPr>
              <w:spacing w:before="100" w:beforeAutospacing="1" w:after="100" w:afterAutospacing="1" w:line="360" w:lineRule="auto"/>
              <w:jc w:val="center"/>
              <w:rPr>
                <w:rFonts w:hint="eastAsia" w:cs="宋体" w:eastAsiaTheme="minorEastAsia"/>
                <w:sz w:val="24"/>
                <w:lang w:eastAsia="zh-CN"/>
              </w:rPr>
            </w:pPr>
            <w:r>
              <w:rPr>
                <w:rFonts w:hint="eastAsia" w:cs="宋体"/>
                <w:sz w:val="24"/>
                <w:lang w:eastAsia="zh-CN"/>
              </w:rPr>
              <w:t>工程黄</w:t>
            </w:r>
          </w:p>
        </w:tc>
        <w:tc>
          <w:tcPr>
            <w:tcW w:w="956" w:type="dxa"/>
            <w:vAlign w:val="center"/>
          </w:tcPr>
          <w:p>
            <w:pPr>
              <w:jc w:val="center"/>
              <w:rPr>
                <w:sz w:val="30"/>
                <w:szCs w:val="30"/>
              </w:rPr>
            </w:pPr>
          </w:p>
        </w:tc>
        <w:tc>
          <w:tcPr>
            <w:tcW w:w="1294"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497" w:type="dxa"/>
            <w:vAlign w:val="center"/>
          </w:tcPr>
          <w:p>
            <w:pPr>
              <w:spacing w:before="100" w:beforeAutospacing="1" w:after="100" w:afterAutospacing="1"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3</w:t>
            </w:r>
          </w:p>
        </w:tc>
        <w:tc>
          <w:tcPr>
            <w:tcW w:w="2344" w:type="dxa"/>
            <w:vAlign w:val="center"/>
          </w:tcPr>
          <w:p>
            <w:pPr>
              <w:widowControl/>
              <w:jc w:val="center"/>
              <w:textAlignment w:val="center"/>
              <w:rPr>
                <w:rFonts w:hint="eastAsia" w:ascii="宋体" w:hAnsi="宋体" w:eastAsia="宋体" w:cs="宋体"/>
                <w:sz w:val="24"/>
                <w:lang w:eastAsia="zh-CN"/>
              </w:rPr>
            </w:pPr>
            <w:r>
              <w:rPr>
                <w:rFonts w:hint="eastAsia" w:ascii="宋体" w:hAnsi="宋体" w:eastAsia="宋体" w:cs="宋体"/>
                <w:sz w:val="24"/>
                <w:lang w:eastAsia="zh-CN"/>
              </w:rPr>
              <w:t>除雪铲</w:t>
            </w:r>
          </w:p>
        </w:tc>
        <w:tc>
          <w:tcPr>
            <w:tcW w:w="1061" w:type="dxa"/>
            <w:vAlign w:val="center"/>
          </w:tcPr>
          <w:p>
            <w:pPr>
              <w:widowControl/>
              <w:jc w:val="center"/>
              <w:textAlignment w:val="center"/>
              <w:rPr>
                <w:rFonts w:cs="宋体"/>
                <w:sz w:val="24"/>
              </w:rPr>
            </w:pPr>
          </w:p>
        </w:tc>
        <w:tc>
          <w:tcPr>
            <w:tcW w:w="1290" w:type="dxa"/>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台</w:t>
            </w:r>
          </w:p>
        </w:tc>
        <w:tc>
          <w:tcPr>
            <w:tcW w:w="88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1009" w:type="dxa"/>
            <w:vAlign w:val="center"/>
          </w:tcPr>
          <w:p>
            <w:pPr>
              <w:spacing w:before="100" w:beforeAutospacing="1" w:after="100" w:afterAutospacing="1" w:line="360" w:lineRule="auto"/>
              <w:jc w:val="center"/>
              <w:rPr>
                <w:rFonts w:hint="eastAsia" w:cs="宋体" w:eastAsiaTheme="minorEastAsia"/>
                <w:sz w:val="24"/>
                <w:lang w:eastAsia="zh-CN"/>
              </w:rPr>
            </w:pPr>
            <w:r>
              <w:rPr>
                <w:rFonts w:hint="eastAsia" w:cs="宋体"/>
                <w:sz w:val="24"/>
                <w:lang w:eastAsia="zh-CN"/>
              </w:rPr>
              <w:t>工程黄</w:t>
            </w:r>
          </w:p>
        </w:tc>
        <w:tc>
          <w:tcPr>
            <w:tcW w:w="956" w:type="dxa"/>
            <w:vAlign w:val="center"/>
          </w:tcPr>
          <w:p>
            <w:pPr>
              <w:jc w:val="center"/>
              <w:rPr>
                <w:sz w:val="30"/>
                <w:szCs w:val="30"/>
              </w:rPr>
            </w:pPr>
          </w:p>
        </w:tc>
        <w:tc>
          <w:tcPr>
            <w:tcW w:w="1294"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497" w:type="dxa"/>
            <w:vAlign w:val="center"/>
          </w:tcPr>
          <w:p>
            <w:pPr>
              <w:spacing w:before="100" w:beforeAutospacing="1" w:after="100" w:afterAutospacing="1"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2344" w:type="dxa"/>
            <w:vAlign w:val="center"/>
          </w:tcPr>
          <w:p>
            <w:pPr>
              <w:widowControl/>
              <w:jc w:val="center"/>
              <w:textAlignment w:val="center"/>
              <w:rPr>
                <w:rFonts w:hint="eastAsia" w:ascii="宋体" w:hAnsi="宋体" w:eastAsia="宋体" w:cs="宋体"/>
                <w:sz w:val="24"/>
                <w:lang w:eastAsia="zh-CN"/>
              </w:rPr>
            </w:pPr>
            <w:r>
              <w:rPr>
                <w:rFonts w:hint="eastAsia" w:ascii="宋体" w:hAnsi="宋体" w:eastAsia="宋体" w:cs="宋体"/>
                <w:sz w:val="24"/>
                <w:lang w:eastAsia="zh-CN"/>
              </w:rPr>
              <w:t>皮带运输机</w:t>
            </w:r>
          </w:p>
        </w:tc>
        <w:tc>
          <w:tcPr>
            <w:tcW w:w="1061" w:type="dxa"/>
            <w:vAlign w:val="center"/>
          </w:tcPr>
          <w:p>
            <w:pPr>
              <w:widowControl/>
              <w:jc w:val="center"/>
              <w:textAlignment w:val="center"/>
              <w:rPr>
                <w:rFonts w:cs="宋体"/>
                <w:sz w:val="24"/>
              </w:rPr>
            </w:pPr>
          </w:p>
        </w:tc>
        <w:tc>
          <w:tcPr>
            <w:tcW w:w="1290" w:type="dxa"/>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台</w:t>
            </w:r>
          </w:p>
        </w:tc>
        <w:tc>
          <w:tcPr>
            <w:tcW w:w="88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1009" w:type="dxa"/>
            <w:vAlign w:val="center"/>
          </w:tcPr>
          <w:p>
            <w:pPr>
              <w:spacing w:before="100" w:beforeAutospacing="1" w:after="100" w:afterAutospacing="1" w:line="360" w:lineRule="auto"/>
              <w:jc w:val="center"/>
              <w:rPr>
                <w:rFonts w:cs="宋体"/>
                <w:sz w:val="24"/>
              </w:rPr>
            </w:pPr>
          </w:p>
        </w:tc>
        <w:tc>
          <w:tcPr>
            <w:tcW w:w="956" w:type="dxa"/>
            <w:vAlign w:val="center"/>
          </w:tcPr>
          <w:p>
            <w:pPr>
              <w:jc w:val="center"/>
              <w:rPr>
                <w:sz w:val="30"/>
                <w:szCs w:val="30"/>
              </w:rPr>
            </w:pPr>
          </w:p>
        </w:tc>
        <w:tc>
          <w:tcPr>
            <w:tcW w:w="1294" w:type="dxa"/>
            <w:vAlign w:val="center"/>
          </w:tcPr>
          <w:p>
            <w:pPr>
              <w:jc w:val="center"/>
              <w:rPr>
                <w:sz w:val="30"/>
                <w:szCs w:val="30"/>
              </w:rPr>
            </w:pPr>
          </w:p>
        </w:tc>
      </w:tr>
    </w:tbl>
    <w:p>
      <w:pPr>
        <w:jc w:val="center"/>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jc w:val="both"/>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17394_WPSOffice_Level1"/>
      <w:bookmarkStart w:id="87" w:name="_Toc1914_WPSOffice_Level1"/>
      <w:bookmarkStart w:id="88" w:name="_Toc5145_WPSOffice_Level1"/>
      <w:bookmarkStart w:id="89" w:name="_Toc27552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0" w:name="_Toc5520_WPSOffice_Level2"/>
      <w:bookmarkStart w:id="91"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0"/>
      <w:bookmarkEnd w:id="9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31577_WPSOffice_Level2"/>
      <w:bookmarkStart w:id="93"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2351_WPSOffice_Level2"/>
      <w:bookmarkStart w:id="95" w:name="_Toc21974_WPSOffice_Level2"/>
      <w:r>
        <w:rPr>
          <w:rFonts w:ascii="Times New Roman" w:hAnsi="Times New Roman" w:eastAsia="黑体" w:cs="Times New Roman"/>
          <w:sz w:val="28"/>
          <w:szCs w:val="28"/>
        </w:rPr>
        <w:t>目录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6353_WPSOffice_Level1"/>
      <w:bookmarkStart w:id="97" w:name="_Toc11424_WPSOffice_Level1"/>
      <w:bookmarkStart w:id="98" w:name="_Toc23368_WPSOffice_Level1"/>
      <w:bookmarkStart w:id="99" w:name="_Toc30529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32729_WPSOffice_Level1"/>
      <w:bookmarkStart w:id="102" w:name="_Toc5317_WPSOffice_Level1"/>
      <w:bookmarkStart w:id="103" w:name="_Toc21229_WPSOffice_Level1"/>
      <w:bookmarkStart w:id="104" w:name="_Toc31927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29085_WPSOffice_Level1"/>
      <w:bookmarkStart w:id="106" w:name="_Toc25965_WPSOffice_Level1"/>
      <w:bookmarkStart w:id="107" w:name="_Toc4728_WPSOffice_Level1"/>
      <w:bookmarkStart w:id="108" w:name="_Toc23356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18964_WPSOffice_Level1"/>
      <w:bookmarkStart w:id="110" w:name="_Toc10608_WPSOffice_Level1"/>
      <w:bookmarkStart w:id="111" w:name="_Toc7453_WPSOffice_Level1"/>
      <w:bookmarkStart w:id="112" w:name="_Toc2374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9006_WPSOffice_Level1"/>
      <w:bookmarkStart w:id="114" w:name="_Toc1578_WPSOffice_Level1"/>
      <w:bookmarkStart w:id="115" w:name="_Toc19601_WPSOffice_Level1"/>
      <w:bookmarkStart w:id="116" w:name="_Toc23751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31314_WPSOffice_Level1"/>
      <w:bookmarkStart w:id="118" w:name="_Toc24082_WPSOffice_Level1"/>
      <w:bookmarkStart w:id="119" w:name="_Toc24262_WPSOffice_Level1"/>
      <w:bookmarkStart w:id="120" w:name="_Toc12459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20930_WPSOffice_Level1"/>
      <w:bookmarkStart w:id="122" w:name="_Toc32220_WPSOffice_Level1"/>
      <w:r>
        <w:rPr>
          <w:rFonts w:hint="eastAsia" w:ascii="Times New Roman" w:hAnsi="Times New Roman" w:eastAsia="黑体" w:cs="Times New Roman"/>
          <w:sz w:val="24"/>
        </w:rPr>
        <w:t>七</w:t>
      </w:r>
      <w:bookmarkEnd w:id="119"/>
      <w:bookmarkEnd w:id="120"/>
      <w:bookmarkEnd w:id="121"/>
      <w:bookmarkEnd w:id="122"/>
      <w:bookmarkStart w:id="123" w:name="_Toc25804_WPSOffice_Level1"/>
      <w:bookmarkStart w:id="124" w:name="_Toc32648_WPSOffice_Level1"/>
      <w:bookmarkStart w:id="125" w:name="_Toc30273_WPSOffice_Level1"/>
      <w:bookmarkStart w:id="126" w:name="_Toc27403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23147_WPSOffice_Level1"/>
      <w:bookmarkStart w:id="128" w:name="_Toc4051_WPSOffice_Level1"/>
      <w:bookmarkStart w:id="129" w:name="_Toc30234_WPSOffice_Level1"/>
      <w:bookmarkStart w:id="130" w:name="_Toc32152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16988_WPSOffice_Level1"/>
      <w:bookmarkStart w:id="132" w:name="_Toc5885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2765_WPSOffice_Level1"/>
      <w:bookmarkStart w:id="134" w:name="_Toc29399_WPSOffice_Level1"/>
      <w:bookmarkStart w:id="135" w:name="_Toc1687_WPSOffice_Level1"/>
      <w:bookmarkStart w:id="136" w:name="_Toc30031_WPSOffice_Level1"/>
      <w:bookmarkStart w:id="137" w:name="_Toc18312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2"/>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12530_WPSOffice_Level1"/>
      <w:bookmarkStart w:id="139" w:name="_Toc14563_WPSOffice_Level1"/>
      <w:bookmarkStart w:id="140" w:name="_Toc18668_WPSOffice_Level1"/>
      <w:bookmarkStart w:id="141" w:name="_Toc32350_WPSOffice_Level1"/>
      <w:bookmarkStart w:id="142" w:name="_Toc8695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5153_WPSOffice_Level2"/>
      <w:bookmarkStart w:id="144" w:name="_Toc2080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2035_WPSOffice_Level2"/>
      <w:bookmarkStart w:id="146"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2"/>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15186_WPSOffice_Level1"/>
      <w:bookmarkStart w:id="148" w:name="_Toc24567_WPSOffice_Level1"/>
      <w:bookmarkStart w:id="149" w:name="_Toc32085_WPSOffice_Level1"/>
      <w:bookmarkStart w:id="150" w:name="_Toc24530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3"/>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日期：2022年月日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23545_WPSOffice_Level1"/>
      <w:bookmarkStart w:id="153" w:name="_Toc7738_WPSOffice_Level1"/>
      <w:bookmarkStart w:id="154" w:name="_Toc22815_WPSOffice_Level1"/>
      <w:bookmarkStart w:id="155" w:name="_Toc10436_WPSOffice_Level1"/>
      <w:bookmarkStart w:id="156" w:name="_Toc314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807_WPSOffice_Level2"/>
      <w:bookmarkStart w:id="158" w:name="_Toc27600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59" w:name="_Toc5072_WPSOffice_Level1"/>
      <w:bookmarkStart w:id="160" w:name="_Toc18547_WPSOffice_Level1"/>
      <w:bookmarkStart w:id="161" w:name="_Toc3772_WPSOffice_Level1"/>
      <w:bookmarkStart w:id="162" w:name="_Toc19004_WPSOffice_Level1"/>
      <w:bookmarkStart w:id="163" w:name="_Toc145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近3年内销售车辆的合同或其他证明材料</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5403_WPSOffice_Level1"/>
      <w:bookmarkStart w:id="165" w:name="_Toc12019_WPSOffice_Level1"/>
      <w:bookmarkStart w:id="166" w:name="_Toc30712_WPSOffice_Level1"/>
      <w:bookmarkStart w:id="167" w:name="_Toc9267_WPSOffice_Level1"/>
      <w:bookmarkStart w:id="168" w:name="_Toc389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2"/>
        <w:jc w:val="right"/>
        <w:rPr>
          <w:u w:val="single"/>
        </w:rPr>
      </w:pPr>
      <w:r>
        <w:rPr>
          <w:rFonts w:ascii="Times New Roman" w:hAnsi="Times New Roman" w:cs="Times New Roman"/>
          <w:sz w:val="24"/>
        </w:rPr>
        <w:t>年月日</w:t>
      </w:r>
    </w:p>
    <w:p>
      <w:pPr>
        <w:pStyle w:val="2"/>
      </w:pPr>
    </w:p>
    <w:p>
      <w:pPr>
        <w:pStyle w:val="2"/>
        <w:spacing w:line="440" w:lineRule="exact"/>
        <w:rPr>
          <w:rFonts w:ascii="Times New Roman" w:hAnsi="Times New Roman" w:cs="Times New Roman"/>
          <w:sz w:val="24"/>
        </w:rPr>
      </w:pPr>
    </w:p>
    <w:p>
      <w:pPr>
        <w:spacing w:line="400" w:lineRule="atLeast"/>
      </w:pPr>
    </w:p>
    <w:p>
      <w:pPr>
        <w:pStyle w:val="2"/>
      </w:pPr>
    </w:p>
    <w:p>
      <w:pPr>
        <w:pStyle w:val="2"/>
      </w:pPr>
    </w:p>
    <w:p>
      <w:pPr>
        <w:pStyle w:val="2"/>
      </w:pPr>
    </w:p>
    <w:p>
      <w:pPr>
        <w:pStyle w:val="2"/>
      </w:pPr>
    </w:p>
    <w:p>
      <w:pPr>
        <w:pStyle w:val="2"/>
      </w:pPr>
    </w:p>
    <w:p>
      <w:pPr>
        <w:pStyle w:val="2"/>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3"/>
        <w:tblpPr w:leftFromText="180" w:rightFromText="180" w:vertAnchor="text" w:horzAnchor="page" w:tblpX="1645" w:tblpY="835"/>
        <w:tblOverlap w:val="never"/>
        <w:tblW w:w="85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w:t>
            </w:r>
            <w:r>
              <w:rPr>
                <w:rFonts w:hint="eastAsia" w:ascii="宋体" w:hAnsi="宋体"/>
                <w:szCs w:val="21"/>
                <w:lang w:val="en-US" w:eastAsia="zh-CN"/>
              </w:rPr>
              <w:t xml:space="preserve"> </w:t>
            </w:r>
            <w:r>
              <w:rPr>
                <w:rFonts w:hint="eastAsia" w:ascii="宋体" w:hAnsi="宋体"/>
                <w:szCs w:val="21"/>
              </w:rPr>
              <w:t>方</w:t>
            </w:r>
            <w:r>
              <w:rPr>
                <w:rFonts w:hint="eastAsia" w:ascii="宋体" w:hAnsi="宋体"/>
                <w:szCs w:val="21"/>
                <w:lang w:val="en-US" w:eastAsia="zh-CN"/>
              </w:rPr>
              <w:t xml:space="preserve"> </w:t>
            </w:r>
            <w:r>
              <w:rPr>
                <w:rFonts w:hint="eastAsia" w:ascii="宋体" w:hAnsi="宋体"/>
                <w:szCs w:val="21"/>
              </w:rPr>
              <w:t>要</w:t>
            </w:r>
            <w:r>
              <w:rPr>
                <w:rFonts w:hint="eastAsia" w:ascii="宋体" w:hAnsi="宋体"/>
                <w:szCs w:val="21"/>
                <w:lang w:val="en-US" w:eastAsia="zh-CN"/>
              </w:rPr>
              <w:t xml:space="preserve"> </w:t>
            </w:r>
            <w:r>
              <w:rPr>
                <w:rFonts w:hint="eastAsia" w:ascii="宋体" w:hAnsi="宋体"/>
                <w:szCs w:val="21"/>
              </w:rPr>
              <w:t>求</w:t>
            </w:r>
          </w:p>
        </w:tc>
        <w:tc>
          <w:tcPr>
            <w:tcW w:w="1980" w:type="dxa"/>
            <w:tcBorders>
              <w:tl2br w:val="nil"/>
              <w:tr2bl w:val="nil"/>
            </w:tcBorders>
            <w:vAlign w:val="center"/>
          </w:tcPr>
          <w:p>
            <w:pPr>
              <w:adjustRightInd w:val="0"/>
              <w:snapToGrid w:val="0"/>
              <w:ind w:firstLine="420" w:firstLineChars="200"/>
              <w:jc w:val="both"/>
              <w:rPr>
                <w:rFonts w:hint="eastAsia" w:ascii="宋体" w:hAnsi="宋体" w:eastAsiaTheme="minorEastAsia"/>
                <w:szCs w:val="21"/>
                <w:lang w:val="en-US" w:eastAsia="zh-CN"/>
              </w:rPr>
            </w:pPr>
            <w:r>
              <w:rPr>
                <w:rFonts w:hint="eastAsia" w:ascii="宋体" w:hAnsi="宋体"/>
                <w:szCs w:val="21"/>
                <w:lang w:val="en-US" w:eastAsia="zh-CN"/>
              </w:rPr>
              <w:t>卖 方 响 应</w:t>
            </w:r>
          </w:p>
        </w:tc>
        <w:tc>
          <w:tcPr>
            <w:tcW w:w="1140" w:type="dxa"/>
            <w:tcBorders>
              <w:tl2br w:val="nil"/>
              <w:tr2bl w:val="nil"/>
            </w:tcBorders>
            <w:vAlign w:val="center"/>
          </w:tcPr>
          <w:p>
            <w:pPr>
              <w:adjustRightInd w:val="0"/>
              <w:snapToGrid w:val="0"/>
              <w:ind w:firstLine="210" w:firstLineChars="100"/>
              <w:jc w:val="center"/>
              <w:rPr>
                <w:rFonts w:hint="eastAsia" w:ascii="宋体" w:hAnsi="宋体" w:eastAsiaTheme="minorEastAsia"/>
                <w:szCs w:val="21"/>
                <w:lang w:eastAsia="zh-CN"/>
              </w:rPr>
            </w:pPr>
            <w:r>
              <w:rPr>
                <w:rFonts w:hint="eastAsia" w:ascii="宋体" w:hAnsi="宋体"/>
                <w:szCs w:val="21"/>
                <w:lang w:eastAsia="zh-CN"/>
              </w:rPr>
              <w:t>偏</w:t>
            </w:r>
            <w:r>
              <w:rPr>
                <w:rFonts w:hint="eastAsia" w:ascii="宋体" w:hAnsi="宋体"/>
                <w:szCs w:val="21"/>
                <w:lang w:val="en-US" w:eastAsia="zh-CN"/>
              </w:rPr>
              <w:t xml:space="preserve"> </w:t>
            </w:r>
            <w:r>
              <w:rPr>
                <w:rFonts w:hint="eastAsia" w:ascii="宋体" w:hAnsi="宋体"/>
                <w:szCs w:val="21"/>
                <w:lang w:eastAsia="zh-CN"/>
              </w:rPr>
              <w:t>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hint="eastAsia" w:ascii="宋体" w:hAnsi="宋体"/>
                <w:szCs w:val="21"/>
              </w:rPr>
            </w:pPr>
          </w:p>
        </w:tc>
        <w:tc>
          <w:tcPr>
            <w:tcW w:w="1140" w:type="dxa"/>
            <w:tcBorders>
              <w:tl2br w:val="nil"/>
              <w:tr2bl w:val="nil"/>
            </w:tcBorders>
          </w:tcPr>
          <w:p>
            <w:pPr>
              <w:adjustRightInd w:val="0"/>
              <w:snapToGrid w:val="0"/>
              <w:jc w:val="left"/>
              <w:rPr>
                <w:rFonts w:hint="eastAsia" w:ascii="宋体" w:hAnsi="宋体"/>
                <w:szCs w:val="21"/>
              </w:rPr>
            </w:pPr>
          </w:p>
        </w:tc>
      </w:tr>
    </w:tbl>
    <w:p>
      <w:pPr>
        <w:pStyle w:val="2"/>
        <w:jc w:val="center"/>
        <w:rPr>
          <w:rFonts w:ascii="黑体" w:hAnsi="黑体" w:eastAsia="黑体" w:cs="黑体"/>
          <w:sz w:val="28"/>
          <w:szCs w:val="28"/>
        </w:rPr>
      </w:pPr>
    </w:p>
    <w:p>
      <w:pPr>
        <w:pStyle w:val="37"/>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2"/>
        <w:jc w:val="center"/>
        <w:rPr>
          <w:rFonts w:ascii="黑体" w:hAnsi="黑体" w:eastAsia="黑体" w:cs="黑体"/>
          <w:sz w:val="28"/>
          <w:szCs w:val="28"/>
        </w:rPr>
      </w:pPr>
    </w:p>
    <w:p>
      <w:pPr>
        <w:pStyle w:val="2"/>
        <w:jc w:val="both"/>
        <w:rPr>
          <w:rFonts w:ascii="黑体" w:hAnsi="黑体" w:eastAsia="黑体" w:cs="黑体"/>
          <w:sz w:val="28"/>
          <w:szCs w:val="28"/>
        </w:rPr>
      </w:pPr>
    </w:p>
    <w:p>
      <w:pPr>
        <w:pStyle w:val="2"/>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2"/>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3"/>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hint="eastAsia" w:ascii="宋体" w:hAnsi="宋体" w:eastAsia="宋体" w:cs="宋体"/>
          <w:color w:val="000000"/>
          <w:szCs w:val="21"/>
          <w:u w:val="single"/>
          <w:lang w:val="en-US" w:eastAsia="zh-CN"/>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r>
        <w:rPr>
          <w:rFonts w:hint="eastAsia" w:ascii="宋体" w:hAnsi="宋体" w:eastAsia="宋体" w:cs="宋体"/>
          <w:color w:val="000000"/>
          <w:szCs w:val="21"/>
          <w:u w:val="single"/>
          <w:lang w:val="en-US" w:eastAsia="zh-CN"/>
        </w:rPr>
        <w:t xml:space="preserve">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宋体" w:hAnsi="宋体" w:eastAsia="宋体" w:cs="宋体"/>
          <w:sz w:val="28"/>
          <w:szCs w:val="28"/>
        </w:rPr>
      </w:pPr>
      <w:r>
        <w:rPr>
          <w:rFonts w:hint="eastAsia" w:ascii="宋体" w:hAnsi="宋体" w:eastAsia="宋体" w:cs="宋体"/>
          <w:sz w:val="28"/>
          <w:szCs w:val="28"/>
        </w:rPr>
        <w:t>备品备件清单</w:t>
      </w:r>
    </w:p>
    <w:p>
      <w:pPr>
        <w:pStyle w:val="2"/>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sz w:val="28"/>
          <w:szCs w:val="28"/>
        </w:rPr>
      </w:pPr>
      <w:r>
        <w:rPr>
          <w:rFonts w:hint="eastAsia" w:ascii="宋体" w:hAnsi="宋体" w:eastAsia="宋体" w:cs="宋体"/>
          <w:sz w:val="28"/>
          <w:szCs w:val="28"/>
        </w:rPr>
        <w:t>专用工具清单（如有）</w:t>
      </w:r>
    </w:p>
    <w:p>
      <w:pPr>
        <w:pStyle w:val="2"/>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3"/>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9"/>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宋体-18030">
    <w:altName w:val="仿宋"/>
    <w:panose1 w:val="02010609060101010101"/>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pict>
        <v:shape id="文本框 2"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7tAEAAEs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ydB&#10;a9/tUc+Ag2+pw82kxHx22Ne8I5MBk7GejG0AvemR2rzwiuF6m5BE4ZYrHGFPhXFiRd1pu/JKvL+X&#10;rLd/YPU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8YQru0AQAASwMAAA4AAAAAAAAAAAAAAAAALgIAAGRycy9lMm9Eb2MueG1sUEsB&#10;Ai0AFAAGAAgAAAAhAAxK8O7WAAAABQEAAA8AAAAAAAAAAAAAAAAADgQAAGRycy9kb3ducmV2Lnht&#10;bFBLBQYAAAAABAAEAPMAAAARBQAAAAA=&#10;">
          <v:path/>
          <v:fill on="f" focussize="0,0"/>
          <v:stroke on="f" joinstyle="miter"/>
          <v:imagedata o:title=""/>
          <o:lock v:ext="edit"/>
          <v:textbox inset="0mm,0mm,0mm,0mm" style="mso-fit-shape-to-text:t;">
            <w:txbxContent>
              <w:p>
                <w:pPr>
                  <w:pStyle w:val="8"/>
                  <w:ind w:firstLine="360"/>
                </w:pPr>
                <w:r>
                  <w:fldChar w:fldCharType="begin"/>
                </w:r>
                <w:r>
                  <w:instrText xml:space="preserve"> PAGE  \* MERGEFORMAT </w:instrText>
                </w:r>
                <w:r>
                  <w:fldChar w:fldCharType="separate"/>
                </w:r>
                <w:r>
                  <w:t>40</w:t>
                </w:r>
                <w:r>
                  <w:fldChar w:fldCharType="end"/>
                </w:r>
              </w:p>
            </w:txbxContent>
          </v:textbox>
        </v:shape>
      </w:pic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5">
    <w:nsid w:val="4DFADC70"/>
    <w:multiLevelType w:val="singleLevel"/>
    <w:tmpl w:val="4DFADC70"/>
    <w:lvl w:ilvl="0" w:tentative="0">
      <w:start w:val="2"/>
      <w:numFmt w:val="decimal"/>
      <w:suff w:val="nothing"/>
      <w:lvlText w:val="%1、"/>
      <w:lvlJc w:val="left"/>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Q1N2I3OGFmYzhhZmVlYzE5NzU4OTRlOWE3OTk4OWYifQ=="/>
  </w:docVars>
  <w:rsids>
    <w:rsidRoot w:val="00172A27"/>
    <w:rsid w:val="00037626"/>
    <w:rsid w:val="00043805"/>
    <w:rsid w:val="00056650"/>
    <w:rsid w:val="00065CDA"/>
    <w:rsid w:val="00075165"/>
    <w:rsid w:val="000A2B98"/>
    <w:rsid w:val="000C168A"/>
    <w:rsid w:val="000E14E9"/>
    <w:rsid w:val="000E1A39"/>
    <w:rsid w:val="0010390C"/>
    <w:rsid w:val="00142D32"/>
    <w:rsid w:val="001571AF"/>
    <w:rsid w:val="00164875"/>
    <w:rsid w:val="00166493"/>
    <w:rsid w:val="00172A27"/>
    <w:rsid w:val="001C18CC"/>
    <w:rsid w:val="001C5613"/>
    <w:rsid w:val="001D3221"/>
    <w:rsid w:val="001D799F"/>
    <w:rsid w:val="00205242"/>
    <w:rsid w:val="00205DBD"/>
    <w:rsid w:val="00210A1D"/>
    <w:rsid w:val="00240DA4"/>
    <w:rsid w:val="002519FD"/>
    <w:rsid w:val="00272678"/>
    <w:rsid w:val="00273CD8"/>
    <w:rsid w:val="00273E55"/>
    <w:rsid w:val="002B094E"/>
    <w:rsid w:val="002C2065"/>
    <w:rsid w:val="002F205F"/>
    <w:rsid w:val="00300F0C"/>
    <w:rsid w:val="00346030"/>
    <w:rsid w:val="0035644A"/>
    <w:rsid w:val="003604F6"/>
    <w:rsid w:val="003626AF"/>
    <w:rsid w:val="003A6B16"/>
    <w:rsid w:val="003B6DCF"/>
    <w:rsid w:val="003C2CD1"/>
    <w:rsid w:val="00402DF9"/>
    <w:rsid w:val="00426A52"/>
    <w:rsid w:val="00427900"/>
    <w:rsid w:val="00444096"/>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90999"/>
    <w:rsid w:val="006A184F"/>
    <w:rsid w:val="006B0C8B"/>
    <w:rsid w:val="006D6F7B"/>
    <w:rsid w:val="006E51BB"/>
    <w:rsid w:val="006F36E9"/>
    <w:rsid w:val="0070292D"/>
    <w:rsid w:val="0070390A"/>
    <w:rsid w:val="00713961"/>
    <w:rsid w:val="007174F5"/>
    <w:rsid w:val="007216EC"/>
    <w:rsid w:val="00733CE4"/>
    <w:rsid w:val="007350AF"/>
    <w:rsid w:val="00750D66"/>
    <w:rsid w:val="00757002"/>
    <w:rsid w:val="00764CCD"/>
    <w:rsid w:val="00782FE9"/>
    <w:rsid w:val="007F2DA2"/>
    <w:rsid w:val="007F3263"/>
    <w:rsid w:val="00825EF3"/>
    <w:rsid w:val="008267FA"/>
    <w:rsid w:val="0083784F"/>
    <w:rsid w:val="008766DD"/>
    <w:rsid w:val="00877226"/>
    <w:rsid w:val="008B21FA"/>
    <w:rsid w:val="008E1521"/>
    <w:rsid w:val="008E7426"/>
    <w:rsid w:val="009007E9"/>
    <w:rsid w:val="009130D0"/>
    <w:rsid w:val="00970C4D"/>
    <w:rsid w:val="009969A9"/>
    <w:rsid w:val="009D0BEC"/>
    <w:rsid w:val="009F0AA5"/>
    <w:rsid w:val="009F2F98"/>
    <w:rsid w:val="00A14222"/>
    <w:rsid w:val="00A6283B"/>
    <w:rsid w:val="00A72F34"/>
    <w:rsid w:val="00A92D02"/>
    <w:rsid w:val="00AB18B6"/>
    <w:rsid w:val="00AB1EEA"/>
    <w:rsid w:val="00AC7918"/>
    <w:rsid w:val="00AE2C23"/>
    <w:rsid w:val="00AF1E53"/>
    <w:rsid w:val="00AF25A5"/>
    <w:rsid w:val="00AF539B"/>
    <w:rsid w:val="00B12A31"/>
    <w:rsid w:val="00B15858"/>
    <w:rsid w:val="00B303C2"/>
    <w:rsid w:val="00B50B49"/>
    <w:rsid w:val="00B93F76"/>
    <w:rsid w:val="00BA1CAE"/>
    <w:rsid w:val="00BB0DD9"/>
    <w:rsid w:val="00BE6BC3"/>
    <w:rsid w:val="00C165B0"/>
    <w:rsid w:val="00C454A0"/>
    <w:rsid w:val="00C53E83"/>
    <w:rsid w:val="00C7141E"/>
    <w:rsid w:val="00C7194D"/>
    <w:rsid w:val="00C93B65"/>
    <w:rsid w:val="00CB1442"/>
    <w:rsid w:val="00CB4EAA"/>
    <w:rsid w:val="00CD6FE9"/>
    <w:rsid w:val="00CE2050"/>
    <w:rsid w:val="00CE443D"/>
    <w:rsid w:val="00D02E59"/>
    <w:rsid w:val="00D1607D"/>
    <w:rsid w:val="00D249DD"/>
    <w:rsid w:val="00D60EAE"/>
    <w:rsid w:val="00D60F2E"/>
    <w:rsid w:val="00D934FC"/>
    <w:rsid w:val="00D94B3C"/>
    <w:rsid w:val="00DA1FD9"/>
    <w:rsid w:val="00DA7119"/>
    <w:rsid w:val="00DB4C2B"/>
    <w:rsid w:val="00DD18EB"/>
    <w:rsid w:val="00DE6371"/>
    <w:rsid w:val="00DF2B57"/>
    <w:rsid w:val="00DF7642"/>
    <w:rsid w:val="00E30A52"/>
    <w:rsid w:val="00E42AA9"/>
    <w:rsid w:val="00E53609"/>
    <w:rsid w:val="00E642DF"/>
    <w:rsid w:val="00E82434"/>
    <w:rsid w:val="00E90327"/>
    <w:rsid w:val="00E927FF"/>
    <w:rsid w:val="00ED718A"/>
    <w:rsid w:val="00EF16FF"/>
    <w:rsid w:val="00EF7EF1"/>
    <w:rsid w:val="00F1488D"/>
    <w:rsid w:val="00F27C0A"/>
    <w:rsid w:val="00F56741"/>
    <w:rsid w:val="00F85CDA"/>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F30A06"/>
    <w:rsid w:val="01F423F9"/>
    <w:rsid w:val="020E2058"/>
    <w:rsid w:val="02355837"/>
    <w:rsid w:val="024946D1"/>
    <w:rsid w:val="0250686A"/>
    <w:rsid w:val="02595534"/>
    <w:rsid w:val="02763446"/>
    <w:rsid w:val="028275B1"/>
    <w:rsid w:val="02836B8D"/>
    <w:rsid w:val="02A66735"/>
    <w:rsid w:val="02AA57BB"/>
    <w:rsid w:val="02B7452C"/>
    <w:rsid w:val="02C10E78"/>
    <w:rsid w:val="02D65DED"/>
    <w:rsid w:val="02E96424"/>
    <w:rsid w:val="02F44385"/>
    <w:rsid w:val="02FD6247"/>
    <w:rsid w:val="03125B78"/>
    <w:rsid w:val="03380757"/>
    <w:rsid w:val="033E575A"/>
    <w:rsid w:val="036B6B95"/>
    <w:rsid w:val="038226D6"/>
    <w:rsid w:val="03960557"/>
    <w:rsid w:val="03B141EB"/>
    <w:rsid w:val="03C834BA"/>
    <w:rsid w:val="03D56ECF"/>
    <w:rsid w:val="03D630D0"/>
    <w:rsid w:val="03DF68F4"/>
    <w:rsid w:val="03ED0A2F"/>
    <w:rsid w:val="03F510F7"/>
    <w:rsid w:val="040F0B7F"/>
    <w:rsid w:val="04211E08"/>
    <w:rsid w:val="04307FFF"/>
    <w:rsid w:val="043A35D9"/>
    <w:rsid w:val="04457667"/>
    <w:rsid w:val="045A4B7B"/>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E7642"/>
    <w:rsid w:val="05BC7068"/>
    <w:rsid w:val="05CB4EDA"/>
    <w:rsid w:val="05DC1624"/>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508B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90B1608"/>
    <w:rsid w:val="09120680"/>
    <w:rsid w:val="09193D26"/>
    <w:rsid w:val="092C10F3"/>
    <w:rsid w:val="092D5CEC"/>
    <w:rsid w:val="09306E7A"/>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932008"/>
    <w:rsid w:val="0C954935"/>
    <w:rsid w:val="0C9E6EE9"/>
    <w:rsid w:val="0CA60BF4"/>
    <w:rsid w:val="0CEE2538"/>
    <w:rsid w:val="0CFF356B"/>
    <w:rsid w:val="0D1C692C"/>
    <w:rsid w:val="0D1F7FB3"/>
    <w:rsid w:val="0D235F12"/>
    <w:rsid w:val="0D371527"/>
    <w:rsid w:val="0D421699"/>
    <w:rsid w:val="0D491784"/>
    <w:rsid w:val="0D903958"/>
    <w:rsid w:val="0DBC5FD9"/>
    <w:rsid w:val="0DBF7526"/>
    <w:rsid w:val="0DD8176C"/>
    <w:rsid w:val="0DDF03EB"/>
    <w:rsid w:val="0DE17D3B"/>
    <w:rsid w:val="0DE55C13"/>
    <w:rsid w:val="0DEA2CBC"/>
    <w:rsid w:val="0DF76096"/>
    <w:rsid w:val="0DFF4F4B"/>
    <w:rsid w:val="0E353D12"/>
    <w:rsid w:val="0E3766AA"/>
    <w:rsid w:val="0E3C6E1E"/>
    <w:rsid w:val="0E421045"/>
    <w:rsid w:val="0E5617C7"/>
    <w:rsid w:val="0E5B2709"/>
    <w:rsid w:val="0E617FB2"/>
    <w:rsid w:val="0EC101C2"/>
    <w:rsid w:val="0EC266A4"/>
    <w:rsid w:val="0EC70BFA"/>
    <w:rsid w:val="0ED43311"/>
    <w:rsid w:val="0EF511C8"/>
    <w:rsid w:val="0EF55437"/>
    <w:rsid w:val="0EF56A7A"/>
    <w:rsid w:val="0F084473"/>
    <w:rsid w:val="0F3638ED"/>
    <w:rsid w:val="0F56600C"/>
    <w:rsid w:val="0F723405"/>
    <w:rsid w:val="0F751969"/>
    <w:rsid w:val="0FCC7A5D"/>
    <w:rsid w:val="0FDB62B2"/>
    <w:rsid w:val="0FE0087A"/>
    <w:rsid w:val="100A243A"/>
    <w:rsid w:val="1015385D"/>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B15DD"/>
    <w:rsid w:val="112B09BB"/>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117BFA"/>
    <w:rsid w:val="131D7C46"/>
    <w:rsid w:val="134A310C"/>
    <w:rsid w:val="137511FB"/>
    <w:rsid w:val="139157D5"/>
    <w:rsid w:val="13A613F8"/>
    <w:rsid w:val="13A61F8A"/>
    <w:rsid w:val="13EB2E20"/>
    <w:rsid w:val="13EE17CA"/>
    <w:rsid w:val="13F71AAC"/>
    <w:rsid w:val="13F727DE"/>
    <w:rsid w:val="140531B2"/>
    <w:rsid w:val="141603C9"/>
    <w:rsid w:val="143E047A"/>
    <w:rsid w:val="146A70C1"/>
    <w:rsid w:val="14980C4A"/>
    <w:rsid w:val="14980E16"/>
    <w:rsid w:val="1498179F"/>
    <w:rsid w:val="14BA42FD"/>
    <w:rsid w:val="14C50C9C"/>
    <w:rsid w:val="14DC7DC8"/>
    <w:rsid w:val="14E01A95"/>
    <w:rsid w:val="150A1554"/>
    <w:rsid w:val="153122C9"/>
    <w:rsid w:val="154F540A"/>
    <w:rsid w:val="155319D5"/>
    <w:rsid w:val="156752D2"/>
    <w:rsid w:val="157D0B57"/>
    <w:rsid w:val="158335ED"/>
    <w:rsid w:val="15833F89"/>
    <w:rsid w:val="1589623D"/>
    <w:rsid w:val="15A85EC8"/>
    <w:rsid w:val="15B36D47"/>
    <w:rsid w:val="15C36A4E"/>
    <w:rsid w:val="15DC3D8A"/>
    <w:rsid w:val="15E451EB"/>
    <w:rsid w:val="15E47854"/>
    <w:rsid w:val="15EB36FD"/>
    <w:rsid w:val="15F55102"/>
    <w:rsid w:val="15F906E0"/>
    <w:rsid w:val="16057AB2"/>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B1375A"/>
    <w:rsid w:val="17CE7E68"/>
    <w:rsid w:val="17F9165D"/>
    <w:rsid w:val="17FD5CFB"/>
    <w:rsid w:val="18117CBC"/>
    <w:rsid w:val="18147845"/>
    <w:rsid w:val="181C5AFE"/>
    <w:rsid w:val="18262728"/>
    <w:rsid w:val="18276115"/>
    <w:rsid w:val="182C4401"/>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C458EB"/>
    <w:rsid w:val="1BC51582"/>
    <w:rsid w:val="1BCA6B98"/>
    <w:rsid w:val="1BDB4E23"/>
    <w:rsid w:val="1BEA478F"/>
    <w:rsid w:val="1BFF07B9"/>
    <w:rsid w:val="1C1447AF"/>
    <w:rsid w:val="1C3542B7"/>
    <w:rsid w:val="1C3A1F70"/>
    <w:rsid w:val="1C4E3A72"/>
    <w:rsid w:val="1C591E3C"/>
    <w:rsid w:val="1C5A6DF2"/>
    <w:rsid w:val="1C8702AB"/>
    <w:rsid w:val="1CAD29F5"/>
    <w:rsid w:val="1CB17D58"/>
    <w:rsid w:val="1CD04682"/>
    <w:rsid w:val="1CDE2D4A"/>
    <w:rsid w:val="1CDF3C59"/>
    <w:rsid w:val="1CE41B29"/>
    <w:rsid w:val="1CF6219E"/>
    <w:rsid w:val="1D011989"/>
    <w:rsid w:val="1D1C4C9A"/>
    <w:rsid w:val="1D2C0C7A"/>
    <w:rsid w:val="1D4318D2"/>
    <w:rsid w:val="1D435A83"/>
    <w:rsid w:val="1D502683"/>
    <w:rsid w:val="1D547061"/>
    <w:rsid w:val="1D582C93"/>
    <w:rsid w:val="1D6A0A81"/>
    <w:rsid w:val="1D81597C"/>
    <w:rsid w:val="1D8F37AE"/>
    <w:rsid w:val="1DA538B1"/>
    <w:rsid w:val="1DCA0187"/>
    <w:rsid w:val="1DEE3EE6"/>
    <w:rsid w:val="1DEF15E5"/>
    <w:rsid w:val="1DFB3480"/>
    <w:rsid w:val="1E076BA3"/>
    <w:rsid w:val="1E085723"/>
    <w:rsid w:val="1E2E506B"/>
    <w:rsid w:val="1E373F50"/>
    <w:rsid w:val="1E3B3E71"/>
    <w:rsid w:val="1E547E7A"/>
    <w:rsid w:val="1E844E18"/>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37870"/>
    <w:rsid w:val="1F84184E"/>
    <w:rsid w:val="1F8841C9"/>
    <w:rsid w:val="1F942DC6"/>
    <w:rsid w:val="1F9F5217"/>
    <w:rsid w:val="1F9F7B9A"/>
    <w:rsid w:val="1FC653B9"/>
    <w:rsid w:val="1FC830F6"/>
    <w:rsid w:val="1FFD5491"/>
    <w:rsid w:val="1FFF49B3"/>
    <w:rsid w:val="20085EE1"/>
    <w:rsid w:val="200A49DA"/>
    <w:rsid w:val="2010615E"/>
    <w:rsid w:val="202E73DC"/>
    <w:rsid w:val="20350D4E"/>
    <w:rsid w:val="205B3A40"/>
    <w:rsid w:val="207C19DD"/>
    <w:rsid w:val="209A4709"/>
    <w:rsid w:val="20A32AD4"/>
    <w:rsid w:val="20A83190"/>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7F414A"/>
    <w:rsid w:val="21957A4E"/>
    <w:rsid w:val="21B209FB"/>
    <w:rsid w:val="21C307B3"/>
    <w:rsid w:val="21CE3C80"/>
    <w:rsid w:val="21D11C50"/>
    <w:rsid w:val="21E27CC2"/>
    <w:rsid w:val="21E82062"/>
    <w:rsid w:val="21FC1CC5"/>
    <w:rsid w:val="220F22ED"/>
    <w:rsid w:val="22290B71"/>
    <w:rsid w:val="223920C8"/>
    <w:rsid w:val="2257773E"/>
    <w:rsid w:val="228C37EE"/>
    <w:rsid w:val="228C6100"/>
    <w:rsid w:val="22A30ED5"/>
    <w:rsid w:val="22A75A54"/>
    <w:rsid w:val="22C75FB3"/>
    <w:rsid w:val="22E43FB7"/>
    <w:rsid w:val="231432F6"/>
    <w:rsid w:val="23202A87"/>
    <w:rsid w:val="23211294"/>
    <w:rsid w:val="23291D55"/>
    <w:rsid w:val="23316C48"/>
    <w:rsid w:val="23331629"/>
    <w:rsid w:val="23533555"/>
    <w:rsid w:val="235C166E"/>
    <w:rsid w:val="2375570F"/>
    <w:rsid w:val="23870C5D"/>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7530A"/>
    <w:rsid w:val="25080E67"/>
    <w:rsid w:val="252C2973"/>
    <w:rsid w:val="25374EF4"/>
    <w:rsid w:val="257D4C7B"/>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C54AE"/>
    <w:rsid w:val="26AE35E3"/>
    <w:rsid w:val="26CA2142"/>
    <w:rsid w:val="26CC5821"/>
    <w:rsid w:val="26D9686E"/>
    <w:rsid w:val="26E16978"/>
    <w:rsid w:val="26EA132C"/>
    <w:rsid w:val="270A6B81"/>
    <w:rsid w:val="271E5FEA"/>
    <w:rsid w:val="27224050"/>
    <w:rsid w:val="27335F39"/>
    <w:rsid w:val="27573233"/>
    <w:rsid w:val="276F5392"/>
    <w:rsid w:val="276F78A4"/>
    <w:rsid w:val="277F5371"/>
    <w:rsid w:val="27897256"/>
    <w:rsid w:val="279E6A72"/>
    <w:rsid w:val="27A22B9A"/>
    <w:rsid w:val="27BA7541"/>
    <w:rsid w:val="27E17707"/>
    <w:rsid w:val="2832016E"/>
    <w:rsid w:val="28332E82"/>
    <w:rsid w:val="28945AD5"/>
    <w:rsid w:val="28A17421"/>
    <w:rsid w:val="28CB2405"/>
    <w:rsid w:val="28CC65CA"/>
    <w:rsid w:val="28E31299"/>
    <w:rsid w:val="28E4564A"/>
    <w:rsid w:val="28FD4C25"/>
    <w:rsid w:val="29121767"/>
    <w:rsid w:val="2916341D"/>
    <w:rsid w:val="293529A7"/>
    <w:rsid w:val="294549B1"/>
    <w:rsid w:val="298E4667"/>
    <w:rsid w:val="299921F9"/>
    <w:rsid w:val="299E263B"/>
    <w:rsid w:val="29AC15DA"/>
    <w:rsid w:val="29C849C9"/>
    <w:rsid w:val="29E638F8"/>
    <w:rsid w:val="2A1D6B49"/>
    <w:rsid w:val="2A433E72"/>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547EAB"/>
    <w:rsid w:val="2B752198"/>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F17FD"/>
    <w:rsid w:val="2EBF392D"/>
    <w:rsid w:val="2EC30534"/>
    <w:rsid w:val="2EC92087"/>
    <w:rsid w:val="2EDC19B7"/>
    <w:rsid w:val="2EED00C8"/>
    <w:rsid w:val="2EF11D09"/>
    <w:rsid w:val="2F107CF7"/>
    <w:rsid w:val="2F1C5807"/>
    <w:rsid w:val="2F21432D"/>
    <w:rsid w:val="2F266163"/>
    <w:rsid w:val="2F2E5C2B"/>
    <w:rsid w:val="2F590537"/>
    <w:rsid w:val="2F7E56E8"/>
    <w:rsid w:val="2F8D4F86"/>
    <w:rsid w:val="2FB62E8D"/>
    <w:rsid w:val="30045BF1"/>
    <w:rsid w:val="300C6F30"/>
    <w:rsid w:val="302A1EA4"/>
    <w:rsid w:val="302F697C"/>
    <w:rsid w:val="303B074A"/>
    <w:rsid w:val="303D10B7"/>
    <w:rsid w:val="30465DAA"/>
    <w:rsid w:val="30556F21"/>
    <w:rsid w:val="30620D79"/>
    <w:rsid w:val="306F405F"/>
    <w:rsid w:val="307716A4"/>
    <w:rsid w:val="30791531"/>
    <w:rsid w:val="309D35EF"/>
    <w:rsid w:val="30B66302"/>
    <w:rsid w:val="30B751B3"/>
    <w:rsid w:val="30E35EBD"/>
    <w:rsid w:val="30EF615D"/>
    <w:rsid w:val="30F614B6"/>
    <w:rsid w:val="30FD3114"/>
    <w:rsid w:val="30FD66FE"/>
    <w:rsid w:val="31254E86"/>
    <w:rsid w:val="31393383"/>
    <w:rsid w:val="31995AF6"/>
    <w:rsid w:val="31B10180"/>
    <w:rsid w:val="31B168FB"/>
    <w:rsid w:val="31C110EE"/>
    <w:rsid w:val="31CB160E"/>
    <w:rsid w:val="31D81033"/>
    <w:rsid w:val="31DC0B3C"/>
    <w:rsid w:val="31DC7938"/>
    <w:rsid w:val="31F42769"/>
    <w:rsid w:val="31F6028F"/>
    <w:rsid w:val="32006559"/>
    <w:rsid w:val="32232959"/>
    <w:rsid w:val="323374C7"/>
    <w:rsid w:val="323B5665"/>
    <w:rsid w:val="323D1E9E"/>
    <w:rsid w:val="32472149"/>
    <w:rsid w:val="324803BF"/>
    <w:rsid w:val="324C5552"/>
    <w:rsid w:val="32722A86"/>
    <w:rsid w:val="32A15D40"/>
    <w:rsid w:val="32BC0383"/>
    <w:rsid w:val="32C23720"/>
    <w:rsid w:val="32D33D11"/>
    <w:rsid w:val="32E2300A"/>
    <w:rsid w:val="33035B90"/>
    <w:rsid w:val="33100AE4"/>
    <w:rsid w:val="332334E6"/>
    <w:rsid w:val="333052D8"/>
    <w:rsid w:val="3356659E"/>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625EF3"/>
    <w:rsid w:val="36655978"/>
    <w:rsid w:val="368558B3"/>
    <w:rsid w:val="36876E6A"/>
    <w:rsid w:val="36980DD0"/>
    <w:rsid w:val="36BD5820"/>
    <w:rsid w:val="36C0156D"/>
    <w:rsid w:val="36CF4BC1"/>
    <w:rsid w:val="36D06F22"/>
    <w:rsid w:val="370C460C"/>
    <w:rsid w:val="37117618"/>
    <w:rsid w:val="371B6C62"/>
    <w:rsid w:val="373B0A3F"/>
    <w:rsid w:val="37592A8C"/>
    <w:rsid w:val="375F0F03"/>
    <w:rsid w:val="37702AE4"/>
    <w:rsid w:val="377A75FB"/>
    <w:rsid w:val="379940D4"/>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62458"/>
    <w:rsid w:val="3B8F4DF4"/>
    <w:rsid w:val="3B915C89"/>
    <w:rsid w:val="3BBE774B"/>
    <w:rsid w:val="3BCA36FC"/>
    <w:rsid w:val="3BD60C4D"/>
    <w:rsid w:val="3BDB75C3"/>
    <w:rsid w:val="3BFB140F"/>
    <w:rsid w:val="3C330E21"/>
    <w:rsid w:val="3C6B2863"/>
    <w:rsid w:val="3C7E046A"/>
    <w:rsid w:val="3CA2060D"/>
    <w:rsid w:val="3CC669C0"/>
    <w:rsid w:val="3CC742EA"/>
    <w:rsid w:val="3CCA034E"/>
    <w:rsid w:val="3CCC78C1"/>
    <w:rsid w:val="3D191420"/>
    <w:rsid w:val="3D4445A5"/>
    <w:rsid w:val="3D4729E2"/>
    <w:rsid w:val="3D870377"/>
    <w:rsid w:val="3D9B1CEB"/>
    <w:rsid w:val="3DB644C5"/>
    <w:rsid w:val="3DBA3955"/>
    <w:rsid w:val="3DC64303"/>
    <w:rsid w:val="3DFD18E3"/>
    <w:rsid w:val="3E037C03"/>
    <w:rsid w:val="3E126C05"/>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71F5C"/>
    <w:rsid w:val="40273D0A"/>
    <w:rsid w:val="4036290E"/>
    <w:rsid w:val="405F54C4"/>
    <w:rsid w:val="407056B1"/>
    <w:rsid w:val="407D2E33"/>
    <w:rsid w:val="408771D7"/>
    <w:rsid w:val="40891574"/>
    <w:rsid w:val="408E1FCA"/>
    <w:rsid w:val="409059C0"/>
    <w:rsid w:val="409C64A6"/>
    <w:rsid w:val="40AF5E8F"/>
    <w:rsid w:val="40BF2021"/>
    <w:rsid w:val="40E165AE"/>
    <w:rsid w:val="40FD44FE"/>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986FE0"/>
    <w:rsid w:val="439873F8"/>
    <w:rsid w:val="439E5AF5"/>
    <w:rsid w:val="43B81849"/>
    <w:rsid w:val="43C646E2"/>
    <w:rsid w:val="43CC52F4"/>
    <w:rsid w:val="43D9610F"/>
    <w:rsid w:val="43E04637"/>
    <w:rsid w:val="43FA55C2"/>
    <w:rsid w:val="441270B5"/>
    <w:rsid w:val="44190C7C"/>
    <w:rsid w:val="4422096E"/>
    <w:rsid w:val="444157D5"/>
    <w:rsid w:val="44466E54"/>
    <w:rsid w:val="446D66E7"/>
    <w:rsid w:val="44833717"/>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511F57"/>
    <w:rsid w:val="465653EA"/>
    <w:rsid w:val="465B0DD6"/>
    <w:rsid w:val="465C2B7E"/>
    <w:rsid w:val="466678D8"/>
    <w:rsid w:val="46681CC5"/>
    <w:rsid w:val="466A4950"/>
    <w:rsid w:val="46722845"/>
    <w:rsid w:val="46854413"/>
    <w:rsid w:val="46AA3BAF"/>
    <w:rsid w:val="46BD2BBF"/>
    <w:rsid w:val="46CA2A30"/>
    <w:rsid w:val="46E55EA9"/>
    <w:rsid w:val="46E903F6"/>
    <w:rsid w:val="46FF778E"/>
    <w:rsid w:val="4702061D"/>
    <w:rsid w:val="470E352E"/>
    <w:rsid w:val="470F50AF"/>
    <w:rsid w:val="471A08BE"/>
    <w:rsid w:val="471C3E9C"/>
    <w:rsid w:val="472D380E"/>
    <w:rsid w:val="473B610C"/>
    <w:rsid w:val="47407861"/>
    <w:rsid w:val="4756581D"/>
    <w:rsid w:val="477E34E4"/>
    <w:rsid w:val="4791799F"/>
    <w:rsid w:val="479428F1"/>
    <w:rsid w:val="47971775"/>
    <w:rsid w:val="47B63522"/>
    <w:rsid w:val="47BE0861"/>
    <w:rsid w:val="47CC5BBD"/>
    <w:rsid w:val="47DE55F6"/>
    <w:rsid w:val="47ED3CA2"/>
    <w:rsid w:val="4801373A"/>
    <w:rsid w:val="4803315E"/>
    <w:rsid w:val="480A0199"/>
    <w:rsid w:val="481467FD"/>
    <w:rsid w:val="482F079F"/>
    <w:rsid w:val="483010A5"/>
    <w:rsid w:val="48334E31"/>
    <w:rsid w:val="4839790E"/>
    <w:rsid w:val="483C0786"/>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9512AC"/>
    <w:rsid w:val="4CBF4CEF"/>
    <w:rsid w:val="4CC254E6"/>
    <w:rsid w:val="4CD527C8"/>
    <w:rsid w:val="4CD74D54"/>
    <w:rsid w:val="4CDC10F5"/>
    <w:rsid w:val="4CE67327"/>
    <w:rsid w:val="4CEB61EE"/>
    <w:rsid w:val="4CEB6BD1"/>
    <w:rsid w:val="4CFF0540"/>
    <w:rsid w:val="4D1B4BF6"/>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959D6"/>
    <w:rsid w:val="4E7B3B9E"/>
    <w:rsid w:val="4E7B594C"/>
    <w:rsid w:val="4E7B64C2"/>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4D50C7"/>
    <w:rsid w:val="50527900"/>
    <w:rsid w:val="505A1FF4"/>
    <w:rsid w:val="505A55CD"/>
    <w:rsid w:val="50695D0B"/>
    <w:rsid w:val="50717C95"/>
    <w:rsid w:val="507E1E70"/>
    <w:rsid w:val="50860FF0"/>
    <w:rsid w:val="50CE2F73"/>
    <w:rsid w:val="510D5690"/>
    <w:rsid w:val="512348E8"/>
    <w:rsid w:val="512B60B4"/>
    <w:rsid w:val="513118E7"/>
    <w:rsid w:val="515E2842"/>
    <w:rsid w:val="51694722"/>
    <w:rsid w:val="5190720E"/>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721B42"/>
    <w:rsid w:val="54EB1C13"/>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424DE3"/>
    <w:rsid w:val="568850AA"/>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E1FFE"/>
    <w:rsid w:val="5BFB1FB9"/>
    <w:rsid w:val="5C762B57"/>
    <w:rsid w:val="5C7D3080"/>
    <w:rsid w:val="5C7E0D7E"/>
    <w:rsid w:val="5C864410"/>
    <w:rsid w:val="5CA409DB"/>
    <w:rsid w:val="5CB30722"/>
    <w:rsid w:val="5CC6567E"/>
    <w:rsid w:val="5CD77A98"/>
    <w:rsid w:val="5CF47502"/>
    <w:rsid w:val="5CF60A0C"/>
    <w:rsid w:val="5D2106CA"/>
    <w:rsid w:val="5D274F13"/>
    <w:rsid w:val="5D3E0BA9"/>
    <w:rsid w:val="5D53665D"/>
    <w:rsid w:val="5D690E03"/>
    <w:rsid w:val="5D6935B6"/>
    <w:rsid w:val="5D8B2FDB"/>
    <w:rsid w:val="5D980AE0"/>
    <w:rsid w:val="5D9C768D"/>
    <w:rsid w:val="5DC32F9C"/>
    <w:rsid w:val="5DCF2540"/>
    <w:rsid w:val="5DDE0A36"/>
    <w:rsid w:val="5DE9733D"/>
    <w:rsid w:val="5DED6180"/>
    <w:rsid w:val="5E021BE6"/>
    <w:rsid w:val="5E08794E"/>
    <w:rsid w:val="5E0D6B87"/>
    <w:rsid w:val="5E3677AF"/>
    <w:rsid w:val="5E4C0BFA"/>
    <w:rsid w:val="5E85744A"/>
    <w:rsid w:val="5E8B1BDC"/>
    <w:rsid w:val="5E9D79FE"/>
    <w:rsid w:val="5EA4369B"/>
    <w:rsid w:val="5EBB3B43"/>
    <w:rsid w:val="5F0F7B0F"/>
    <w:rsid w:val="5F1D3C82"/>
    <w:rsid w:val="5F341672"/>
    <w:rsid w:val="5F8403D9"/>
    <w:rsid w:val="5FB2630F"/>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A14466"/>
    <w:rsid w:val="60B50C23"/>
    <w:rsid w:val="60CC64DC"/>
    <w:rsid w:val="6107582C"/>
    <w:rsid w:val="612F392E"/>
    <w:rsid w:val="613D0256"/>
    <w:rsid w:val="614C7A15"/>
    <w:rsid w:val="618B4124"/>
    <w:rsid w:val="618D3BCD"/>
    <w:rsid w:val="61AA5A61"/>
    <w:rsid w:val="61C96577"/>
    <w:rsid w:val="61D740F7"/>
    <w:rsid w:val="61E635CD"/>
    <w:rsid w:val="6208709F"/>
    <w:rsid w:val="6228378C"/>
    <w:rsid w:val="6228683D"/>
    <w:rsid w:val="622D3184"/>
    <w:rsid w:val="62410803"/>
    <w:rsid w:val="625B5CA9"/>
    <w:rsid w:val="62756CE9"/>
    <w:rsid w:val="6294722E"/>
    <w:rsid w:val="62E56056"/>
    <w:rsid w:val="63003347"/>
    <w:rsid w:val="63023C14"/>
    <w:rsid w:val="63193A39"/>
    <w:rsid w:val="6320666B"/>
    <w:rsid w:val="63295801"/>
    <w:rsid w:val="63471E49"/>
    <w:rsid w:val="634D713D"/>
    <w:rsid w:val="636D2F3A"/>
    <w:rsid w:val="63771C40"/>
    <w:rsid w:val="63776804"/>
    <w:rsid w:val="638B6757"/>
    <w:rsid w:val="638E4C30"/>
    <w:rsid w:val="639E2905"/>
    <w:rsid w:val="63AB687C"/>
    <w:rsid w:val="63AD2418"/>
    <w:rsid w:val="63AD76EF"/>
    <w:rsid w:val="63F65FBD"/>
    <w:rsid w:val="641A755E"/>
    <w:rsid w:val="642F4426"/>
    <w:rsid w:val="643323DD"/>
    <w:rsid w:val="64381701"/>
    <w:rsid w:val="644A7E43"/>
    <w:rsid w:val="646F5129"/>
    <w:rsid w:val="64846D27"/>
    <w:rsid w:val="64877C97"/>
    <w:rsid w:val="64A175F9"/>
    <w:rsid w:val="64BD6E2A"/>
    <w:rsid w:val="64C20E5B"/>
    <w:rsid w:val="64C67E05"/>
    <w:rsid w:val="64CF0127"/>
    <w:rsid w:val="64DA2E60"/>
    <w:rsid w:val="64DC230E"/>
    <w:rsid w:val="64E4512C"/>
    <w:rsid w:val="64EF362D"/>
    <w:rsid w:val="64F472AA"/>
    <w:rsid w:val="65047D30"/>
    <w:rsid w:val="650D4276"/>
    <w:rsid w:val="650E3FA6"/>
    <w:rsid w:val="651E7FDE"/>
    <w:rsid w:val="65283AF6"/>
    <w:rsid w:val="65404DA2"/>
    <w:rsid w:val="65440D8C"/>
    <w:rsid w:val="654C3728"/>
    <w:rsid w:val="654C7BEB"/>
    <w:rsid w:val="65530E8F"/>
    <w:rsid w:val="65656A70"/>
    <w:rsid w:val="658D79B1"/>
    <w:rsid w:val="658F5C47"/>
    <w:rsid w:val="659B022A"/>
    <w:rsid w:val="65B31DC1"/>
    <w:rsid w:val="65CC1E3C"/>
    <w:rsid w:val="65E06B45"/>
    <w:rsid w:val="65E24AD3"/>
    <w:rsid w:val="65FE712B"/>
    <w:rsid w:val="660D6F99"/>
    <w:rsid w:val="66374AE6"/>
    <w:rsid w:val="663F54F7"/>
    <w:rsid w:val="66442840"/>
    <w:rsid w:val="664C6704"/>
    <w:rsid w:val="664E5351"/>
    <w:rsid w:val="66503496"/>
    <w:rsid w:val="66520FBC"/>
    <w:rsid w:val="66595BE2"/>
    <w:rsid w:val="6686712D"/>
    <w:rsid w:val="668B29C5"/>
    <w:rsid w:val="668B6FEC"/>
    <w:rsid w:val="66AE3981"/>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B76196"/>
    <w:rsid w:val="68BA4B9D"/>
    <w:rsid w:val="68DB44E9"/>
    <w:rsid w:val="68E44CD3"/>
    <w:rsid w:val="6915360B"/>
    <w:rsid w:val="6923160C"/>
    <w:rsid w:val="692F3612"/>
    <w:rsid w:val="692F4C62"/>
    <w:rsid w:val="69484031"/>
    <w:rsid w:val="694C01BA"/>
    <w:rsid w:val="694F7CAA"/>
    <w:rsid w:val="69562DE6"/>
    <w:rsid w:val="69692F41"/>
    <w:rsid w:val="6976615B"/>
    <w:rsid w:val="698A554F"/>
    <w:rsid w:val="699A4896"/>
    <w:rsid w:val="69A47AFA"/>
    <w:rsid w:val="69A76CE5"/>
    <w:rsid w:val="69A80ADF"/>
    <w:rsid w:val="69B43BB5"/>
    <w:rsid w:val="69B766F1"/>
    <w:rsid w:val="69BB5619"/>
    <w:rsid w:val="69C14A40"/>
    <w:rsid w:val="69DB32EB"/>
    <w:rsid w:val="69F6289F"/>
    <w:rsid w:val="6A09181B"/>
    <w:rsid w:val="6A201236"/>
    <w:rsid w:val="6A340B46"/>
    <w:rsid w:val="6A3B1032"/>
    <w:rsid w:val="6A3B678C"/>
    <w:rsid w:val="6A3C2FAD"/>
    <w:rsid w:val="6A4A5CE9"/>
    <w:rsid w:val="6A4C25E5"/>
    <w:rsid w:val="6A515F00"/>
    <w:rsid w:val="6A55183E"/>
    <w:rsid w:val="6A6E3D5C"/>
    <w:rsid w:val="6A7A34D3"/>
    <w:rsid w:val="6A7A37AF"/>
    <w:rsid w:val="6A7C3025"/>
    <w:rsid w:val="6A8678A3"/>
    <w:rsid w:val="6AA0506A"/>
    <w:rsid w:val="6AA565DC"/>
    <w:rsid w:val="6AAF6C52"/>
    <w:rsid w:val="6AB737B1"/>
    <w:rsid w:val="6ADD5CBB"/>
    <w:rsid w:val="6AF15144"/>
    <w:rsid w:val="6B0F0993"/>
    <w:rsid w:val="6B2240A0"/>
    <w:rsid w:val="6B34492E"/>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4A4E26"/>
    <w:rsid w:val="705E3594"/>
    <w:rsid w:val="706D47F2"/>
    <w:rsid w:val="70CC3C5C"/>
    <w:rsid w:val="70D13186"/>
    <w:rsid w:val="70DA79DB"/>
    <w:rsid w:val="70E66DDE"/>
    <w:rsid w:val="710708CC"/>
    <w:rsid w:val="710D33C2"/>
    <w:rsid w:val="71201E7A"/>
    <w:rsid w:val="713944E1"/>
    <w:rsid w:val="71A74D64"/>
    <w:rsid w:val="71B11E98"/>
    <w:rsid w:val="71B625C8"/>
    <w:rsid w:val="71D04CEB"/>
    <w:rsid w:val="71D4011E"/>
    <w:rsid w:val="71EE678E"/>
    <w:rsid w:val="71EF21D9"/>
    <w:rsid w:val="71F83650"/>
    <w:rsid w:val="720E20E5"/>
    <w:rsid w:val="721D22C8"/>
    <w:rsid w:val="72761ACE"/>
    <w:rsid w:val="729C5D0C"/>
    <w:rsid w:val="72A80664"/>
    <w:rsid w:val="72B33B48"/>
    <w:rsid w:val="72CC236B"/>
    <w:rsid w:val="730205CB"/>
    <w:rsid w:val="73047594"/>
    <w:rsid w:val="730C7017"/>
    <w:rsid w:val="732032AC"/>
    <w:rsid w:val="73253CEE"/>
    <w:rsid w:val="73282EAD"/>
    <w:rsid w:val="736B0D9C"/>
    <w:rsid w:val="73B65107"/>
    <w:rsid w:val="73E96CCD"/>
    <w:rsid w:val="73E9784B"/>
    <w:rsid w:val="73F0718E"/>
    <w:rsid w:val="73FC6321"/>
    <w:rsid w:val="74070CA0"/>
    <w:rsid w:val="740A2040"/>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F83F2A"/>
    <w:rsid w:val="761335AB"/>
    <w:rsid w:val="76373B59"/>
    <w:rsid w:val="764C17F9"/>
    <w:rsid w:val="765B6B67"/>
    <w:rsid w:val="765F6F55"/>
    <w:rsid w:val="76695258"/>
    <w:rsid w:val="767945B8"/>
    <w:rsid w:val="769413F2"/>
    <w:rsid w:val="769B5423"/>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8C352B"/>
    <w:rsid w:val="7A9279F6"/>
    <w:rsid w:val="7AC22E37"/>
    <w:rsid w:val="7AD803EA"/>
    <w:rsid w:val="7AF97A75"/>
    <w:rsid w:val="7B0574E9"/>
    <w:rsid w:val="7B091377"/>
    <w:rsid w:val="7B367327"/>
    <w:rsid w:val="7B5E2AA7"/>
    <w:rsid w:val="7B71168E"/>
    <w:rsid w:val="7B9F046E"/>
    <w:rsid w:val="7BA571A1"/>
    <w:rsid w:val="7BA84BDE"/>
    <w:rsid w:val="7BDA4C3E"/>
    <w:rsid w:val="7BED0D99"/>
    <w:rsid w:val="7BF7759F"/>
    <w:rsid w:val="7C0E5BCD"/>
    <w:rsid w:val="7C1B4A3B"/>
    <w:rsid w:val="7C211D7D"/>
    <w:rsid w:val="7C2E45FA"/>
    <w:rsid w:val="7C366D83"/>
    <w:rsid w:val="7C665AD8"/>
    <w:rsid w:val="7C8B7927"/>
    <w:rsid w:val="7C943EFA"/>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BD1010"/>
    <w:rsid w:val="7DDB60E4"/>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3"/>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Title"/>
    <w:basedOn w:val="1"/>
    <w:next w:val="1"/>
    <w:qFormat/>
    <w:uiPriority w:val="0"/>
    <w:pPr>
      <w:jc w:val="center"/>
    </w:pPr>
    <w:rPr>
      <w:sz w:val="30"/>
      <w:szCs w:val="30"/>
    </w:rPr>
  </w:style>
  <w:style w:type="paragraph" w:styleId="12">
    <w:name w:val="Body Text First Indent 2"/>
    <w:basedOn w:val="6"/>
    <w:next w:val="2"/>
    <w:unhideWhenUsed/>
    <w:qFormat/>
    <w:uiPriority w:val="99"/>
    <w:pPr>
      <w:ind w:firstLine="420" w:firstLineChars="200"/>
    </w:pPr>
    <w:rPr>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rFonts w:hint="eastAsia" w:ascii="微软雅黑" w:hAnsi="微软雅黑" w:eastAsia="微软雅黑" w:cs="微软雅黑"/>
      <w:color w:val="323232"/>
      <w:sz w:val="21"/>
      <w:szCs w:val="21"/>
      <w:u w:val="none"/>
    </w:rPr>
  </w:style>
  <w:style w:type="character" w:styleId="19">
    <w:name w:val="Hyperlink"/>
    <w:basedOn w:val="15"/>
    <w:qFormat/>
    <w:uiPriority w:val="0"/>
    <w:rPr>
      <w:color w:val="0000FF"/>
      <w:u w:val="single"/>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2">
    <w:name w:val="正文 题目"/>
    <w:basedOn w:val="1"/>
    <w:qFormat/>
    <w:uiPriority w:val="0"/>
    <w:pPr>
      <w:jc w:val="center"/>
    </w:pPr>
    <w:rPr>
      <w:rFonts w:ascii="黑体" w:hAnsi="黑体" w:eastAsia="黑体"/>
      <w:sz w:val="28"/>
    </w:rPr>
  </w:style>
  <w:style w:type="character" w:customStyle="1" w:styleId="23">
    <w:name w:val="标题 2 字符"/>
    <w:link w:val="4"/>
    <w:qFormat/>
    <w:uiPriority w:val="0"/>
    <w:rPr>
      <w:rFonts w:ascii="Arial" w:hAnsi="Arial"/>
      <w:b/>
      <w:bCs/>
      <w:sz w:val="28"/>
      <w:szCs w:val="32"/>
    </w:rPr>
  </w:style>
  <w:style w:type="character" w:customStyle="1" w:styleId="24">
    <w:name w:val="font01"/>
    <w:basedOn w:val="15"/>
    <w:qFormat/>
    <w:uiPriority w:val="0"/>
    <w:rPr>
      <w:rFonts w:hint="eastAsia" w:ascii="宋体" w:hAnsi="宋体" w:eastAsia="宋体" w:cs="宋体"/>
      <w:color w:val="000000"/>
      <w:sz w:val="20"/>
      <w:szCs w:val="20"/>
      <w:u w:val="none"/>
    </w:rPr>
  </w:style>
  <w:style w:type="character" w:customStyle="1" w:styleId="25">
    <w:name w:val="font31"/>
    <w:basedOn w:val="15"/>
    <w:qFormat/>
    <w:uiPriority w:val="0"/>
    <w:rPr>
      <w:rFonts w:hint="eastAsia" w:ascii="宋体" w:hAnsi="宋体" w:eastAsia="宋体" w:cs="宋体"/>
      <w:color w:val="000000"/>
      <w:sz w:val="24"/>
      <w:szCs w:val="24"/>
      <w:u w:val="none"/>
    </w:rPr>
  </w:style>
  <w:style w:type="character" w:customStyle="1" w:styleId="26">
    <w:name w:val="font61"/>
    <w:basedOn w:val="15"/>
    <w:qFormat/>
    <w:uiPriority w:val="0"/>
    <w:rPr>
      <w:rFonts w:hint="default" w:ascii="Times New Roman" w:hAnsi="Times New Roman" w:cs="Times New Roman"/>
      <w:color w:val="000000"/>
      <w:sz w:val="24"/>
      <w:szCs w:val="24"/>
      <w:u w:val="none"/>
    </w:rPr>
  </w:style>
  <w:style w:type="character" w:customStyle="1" w:styleId="27">
    <w:name w:val="font11"/>
    <w:basedOn w:val="15"/>
    <w:qFormat/>
    <w:uiPriority w:val="0"/>
    <w:rPr>
      <w:rFonts w:hint="eastAsia" w:ascii="宋体" w:hAnsi="宋体" w:eastAsia="宋体" w:cs="宋体"/>
      <w:color w:val="000000"/>
      <w:sz w:val="24"/>
      <w:szCs w:val="24"/>
      <w:u w:val="none"/>
    </w:rPr>
  </w:style>
  <w:style w:type="character" w:customStyle="1" w:styleId="28">
    <w:name w:val="font51"/>
    <w:basedOn w:val="15"/>
    <w:qFormat/>
    <w:uiPriority w:val="0"/>
    <w:rPr>
      <w:rFonts w:ascii="Calibri" w:hAnsi="Calibri" w:cs="Calibri"/>
      <w:color w:val="000000"/>
      <w:sz w:val="24"/>
      <w:szCs w:val="24"/>
      <w:u w:val="none"/>
    </w:rPr>
  </w:style>
  <w:style w:type="character" w:customStyle="1" w:styleId="29">
    <w:name w:val="font21"/>
    <w:basedOn w:val="15"/>
    <w:qFormat/>
    <w:uiPriority w:val="0"/>
    <w:rPr>
      <w:rFonts w:hint="eastAsia" w:ascii="宋体" w:hAnsi="宋体" w:eastAsia="宋体" w:cs="宋体"/>
      <w:b/>
      <w:bCs/>
      <w:color w:val="000000"/>
      <w:sz w:val="20"/>
      <w:szCs w:val="20"/>
      <w:u w:val="none"/>
    </w:rPr>
  </w:style>
  <w:style w:type="character" w:customStyle="1" w:styleId="30">
    <w:name w:val="font81"/>
    <w:basedOn w:val="15"/>
    <w:qFormat/>
    <w:uiPriority w:val="0"/>
    <w:rPr>
      <w:rFonts w:hint="default" w:ascii="Times New Roman" w:hAnsi="Times New Roman" w:cs="Times New Roman"/>
      <w:b/>
      <w:bCs/>
      <w:color w:val="000000"/>
      <w:sz w:val="20"/>
      <w:szCs w:val="20"/>
      <w:u w:val="none"/>
    </w:rPr>
  </w:style>
  <w:style w:type="character" w:customStyle="1" w:styleId="31">
    <w:name w:val="font41"/>
    <w:basedOn w:val="15"/>
    <w:qFormat/>
    <w:uiPriority w:val="0"/>
    <w:rPr>
      <w:rFonts w:hint="eastAsia" w:ascii="宋体" w:hAnsi="宋体" w:eastAsia="宋体" w:cs="宋体"/>
      <w:color w:val="000000"/>
      <w:sz w:val="20"/>
      <w:szCs w:val="20"/>
      <w:u w:val="none"/>
    </w:rPr>
  </w:style>
  <w:style w:type="character" w:customStyle="1" w:styleId="32">
    <w:name w:val="font71"/>
    <w:basedOn w:val="15"/>
    <w:qFormat/>
    <w:uiPriority w:val="0"/>
    <w:rPr>
      <w:rFonts w:hint="eastAsia" w:ascii="宋体" w:hAnsi="宋体" w:eastAsia="宋体" w:cs="宋体"/>
      <w:b/>
      <w:bCs/>
      <w:color w:val="000000"/>
      <w:sz w:val="20"/>
      <w:szCs w:val="20"/>
      <w:u w:val="none"/>
      <w:vertAlign w:val="superscript"/>
    </w:rPr>
  </w:style>
  <w:style w:type="character" w:customStyle="1" w:styleId="33">
    <w:name w:val="hover52"/>
    <w:basedOn w:val="15"/>
    <w:qFormat/>
    <w:uiPriority w:val="0"/>
    <w:rPr>
      <w:color w:val="D61521"/>
    </w:rPr>
  </w:style>
  <w:style w:type="paragraph" w:customStyle="1" w:styleId="34">
    <w:name w:val="Table Paragraph"/>
    <w:basedOn w:val="1"/>
    <w:qFormat/>
    <w:uiPriority w:val="1"/>
    <w:rPr>
      <w:rFonts w:ascii="宋体" w:hAnsi="宋体" w:eastAsia="宋体" w:cs="宋体"/>
      <w:lang w:val="zh-CN" w:bidi="zh-CN"/>
    </w:rPr>
  </w:style>
  <w:style w:type="character" w:customStyle="1" w:styleId="35">
    <w:name w:val="页眉 字符"/>
    <w:basedOn w:val="15"/>
    <w:link w:val="9"/>
    <w:qFormat/>
    <w:uiPriority w:val="0"/>
    <w:rPr>
      <w:rFonts w:asciiTheme="minorHAnsi" w:hAnsiTheme="minorHAnsi" w:eastAsiaTheme="minorEastAsia" w:cstheme="minorBidi"/>
      <w:kern w:val="2"/>
      <w:sz w:val="18"/>
      <w:szCs w:val="18"/>
    </w:rPr>
  </w:style>
  <w:style w:type="paragraph" w:styleId="36">
    <w:name w:val="List Paragraph"/>
    <w:basedOn w:val="1"/>
    <w:unhideWhenUsed/>
    <w:qFormat/>
    <w:uiPriority w:val="99"/>
    <w:pPr>
      <w:ind w:firstLine="420" w:firstLineChars="200"/>
    </w:pPr>
  </w:style>
  <w:style w:type="paragraph" w:customStyle="1" w:styleId="37">
    <w:name w:val="正文1"/>
    <w:basedOn w:val="1"/>
    <w:qFormat/>
    <w:uiPriority w:val="0"/>
    <w:pPr>
      <w:spacing w:line="400" w:lineRule="exact"/>
    </w:pPr>
    <w:rPr>
      <w:rFonts w:ascii="宋体" w:hAnsi="宋体" w:cs="宋体"/>
      <w:b/>
      <w:bCs/>
      <w:color w:val="00000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18118</Words>
  <Characters>19853</Characters>
  <Lines>166</Lines>
  <Paragraphs>46</Paragraphs>
  <TotalTime>146</TotalTime>
  <ScaleCrop>false</ScaleCrop>
  <LinksUpToDate>false</LinksUpToDate>
  <CharactersWithSpaces>20354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dcterms:modified xsi:type="dcterms:W3CDTF">2022-06-20T09:25:39Z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E228C9FAD4514C9FBD60B28EA79ABF59</vt:lpwstr>
  </property>
</Properties>
</file>