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2024年安徽交运集团汽车销售有限公司2.21公务车辆</w:t>
      </w:r>
      <w:r>
        <w:rPr>
          <w:rFonts w:hint="eastAsia" w:ascii="宋体" w:hAnsi="宋体" w:eastAsia="宋体" w:cs="宋体"/>
          <w:b w:val="0"/>
          <w:bCs w:val="0"/>
          <w:kern w:val="0"/>
          <w:sz w:val="44"/>
          <w:szCs w:val="44"/>
        </w:rPr>
        <w:t>采购项目</w:t>
      </w:r>
    </w:p>
    <w:p>
      <w:pPr>
        <w:spacing w:line="540" w:lineRule="exact"/>
        <w:ind w:firstLine="420"/>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spacing w:line="540" w:lineRule="exact"/>
        <w:ind w:firstLine="420"/>
        <w:rPr>
          <w:rFonts w:ascii="Times New Roman" w:hAnsi="Times New Roman" w:cs="Times New Roman"/>
          <w:szCs w:val="21"/>
        </w:rPr>
      </w:pPr>
    </w:p>
    <w:p>
      <w:pPr>
        <w:widowControl/>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hint="eastAsia" w:ascii="宋体" w:hAnsi="宋体" w:eastAsia="宋体" w:cs="宋体"/>
          <w:b w:val="0"/>
          <w:bCs w:val="0"/>
          <w:szCs w:val="21"/>
        </w:rPr>
      </w:pPr>
    </w:p>
    <w:p>
      <w:pPr>
        <w:snapToGrid w:val="0"/>
        <w:ind w:firstLine="960" w:firstLineChars="300"/>
        <w:rPr>
          <w:rFonts w:hint="eastAsia" w:ascii="宋体" w:hAnsi="宋体" w:eastAsia="宋体" w:cs="宋体"/>
          <w:b w:val="0"/>
          <w:bCs w:val="0"/>
          <w:sz w:val="32"/>
          <w:szCs w:val="32"/>
        </w:rPr>
      </w:pPr>
      <w:r>
        <w:rPr>
          <w:rFonts w:hint="eastAsia" w:ascii="宋体" w:hAnsi="宋体" w:eastAsia="宋体" w:cs="宋体"/>
          <w:b w:val="0"/>
          <w:bCs w:val="0"/>
          <w:sz w:val="32"/>
          <w:szCs w:val="32"/>
        </w:rPr>
        <w:t>采 购 人：</w:t>
      </w:r>
      <w:r>
        <w:rPr>
          <w:rFonts w:hint="eastAsia" w:ascii="宋体" w:hAnsi="宋体" w:eastAsia="宋体" w:cs="宋体"/>
          <w:b w:val="0"/>
          <w:bCs w:val="0"/>
          <w:sz w:val="32"/>
          <w:szCs w:val="32"/>
          <w:u w:val="single"/>
        </w:rPr>
        <w:t>安徽交运集团汽车销售有限公司</w:t>
      </w:r>
    </w:p>
    <w:p>
      <w:pPr>
        <w:snapToGrid w:val="0"/>
        <w:ind w:firstLine="960" w:firstLineChars="30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 xml:space="preserve"> </w:t>
      </w:r>
    </w:p>
    <w:p>
      <w:pPr>
        <w:snapToGrid w:val="0"/>
        <w:ind w:firstLine="960" w:firstLineChars="30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日    期：</w:t>
      </w:r>
      <w:r>
        <w:rPr>
          <w:rFonts w:hint="eastAsia" w:ascii="宋体" w:hAnsi="宋体" w:eastAsia="宋体" w:cs="宋体"/>
          <w:b w:val="0"/>
          <w:bCs w:val="0"/>
          <w:sz w:val="32"/>
          <w:szCs w:val="32"/>
          <w:u w:val="single"/>
        </w:rPr>
        <w:t>2024年2月21日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147481990"/>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5"/>
          </w:pP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r>
            <w:rPr>
              <w:rFonts w:ascii="Times New Roman" w:hAnsi="Times New Roman" w:eastAsia="宋体" w:cs="Times New Roman"/>
              <w:sz w:val="28"/>
              <w:szCs w:val="28"/>
            </w:rPr>
            <w:t>第一章 采购公告</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r>
            <w:rPr>
              <w:rFonts w:ascii="Times New Roman" w:hAnsi="Times New Roman" w:eastAsia="宋体" w:cs="Times New Roman"/>
              <w:sz w:val="28"/>
              <w:szCs w:val="28"/>
            </w:rPr>
            <w:t>第二章 供应商须知</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r>
            <w:rPr>
              <w:rFonts w:ascii="Times New Roman" w:hAnsi="Times New Roman" w:eastAsia="宋体" w:cs="Times New Roman"/>
              <w:sz w:val="28"/>
              <w:szCs w:val="28"/>
            </w:rPr>
            <w:t>第三章 评审办法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r>
            <w:rPr>
              <w:rFonts w:ascii="Times New Roman" w:hAnsi="Times New Roman" w:eastAsia="宋体" w:cs="Times New Roman"/>
              <w:sz w:val="28"/>
              <w:szCs w:val="28"/>
            </w:rPr>
            <w:t>第四章 合同内容</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r>
            <w:rPr>
              <w:rFonts w:ascii="Times New Roman" w:hAnsi="Times New Roman" w:eastAsia="宋体" w:cs="Times New Roman"/>
              <w:sz w:val="28"/>
              <w:szCs w:val="28"/>
            </w:rPr>
            <w:t>第五章 采购需求及清单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r>
            <w:rPr>
              <w:rFonts w:ascii="Times New Roman" w:hAnsi="Times New Roman" w:eastAsia="宋体" w:cs="Times New Roman"/>
              <w:sz w:val="28"/>
              <w:szCs w:val="28"/>
            </w:rPr>
            <w:t>第六章 响应文件格式</w:t>
          </w:r>
          <w:r>
            <w:rPr>
              <w:rFonts w:ascii="Times New Roman" w:hAnsi="Times New Roman" w:eastAsia="宋体" w:cs="Times New Roman"/>
              <w:sz w:val="28"/>
              <w:szCs w:val="28"/>
            </w:rP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2"/>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3"/>
        <w:snapToGrid w:val="0"/>
        <w:spacing w:before="120" w:after="120" w:line="560" w:lineRule="exact"/>
        <w:ind w:firstLine="403"/>
        <w:rPr>
          <w:rFonts w:ascii="宋体" w:hAnsi="宋体" w:eastAsia="宋体" w:cs="宋体"/>
          <w:bCs w:val="0"/>
          <w:sz w:val="21"/>
          <w:szCs w:val="21"/>
        </w:rPr>
      </w:pPr>
      <w:bookmarkStart w:id="2" w:name="_Toc24354_WPSOffice_Level2"/>
      <w:bookmarkStart w:id="3" w:name="_Toc12765"/>
      <w:bookmarkStart w:id="4" w:name="_Toc4489_WPSOffice_Level2"/>
      <w:bookmarkStart w:id="5" w:name="_Toc13871"/>
      <w:bookmarkStart w:id="6" w:name="_Toc6496_WPSOffice_Level2"/>
      <w:bookmarkStart w:id="7" w:name="_Toc10395_WPSOffice_Level2"/>
      <w:bookmarkStart w:id="8" w:name="_Toc525632585"/>
      <w:r>
        <w:rPr>
          <w:rFonts w:hint="eastAsia" w:ascii="宋体" w:hAnsi="宋体" w:eastAsia="宋体" w:cs="宋体"/>
          <w:bCs w:val="0"/>
          <w:sz w:val="21"/>
          <w:szCs w:val="21"/>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szCs w:val="21"/>
          <w:u w:val="single"/>
        </w:rPr>
      </w:pPr>
      <w:r>
        <w:rPr>
          <w:rFonts w:hint="eastAsia" w:ascii="宋体" w:hAnsi="宋体" w:eastAsia="宋体" w:cs="宋体"/>
          <w:szCs w:val="21"/>
        </w:rPr>
        <w:t>1.1 项目名称：</w:t>
      </w:r>
      <w:r>
        <w:rPr>
          <w:rFonts w:hint="eastAsia" w:ascii="宋体" w:hAnsi="宋体" w:eastAsia="宋体" w:cs="宋体"/>
          <w:szCs w:val="21"/>
          <w:u w:val="single"/>
        </w:rPr>
        <w:t xml:space="preserve"> 2024年安徽交运集团汽车销售有限公司2.21公务车辆采购项目</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1.2 采 购 人：</w:t>
      </w:r>
      <w:r>
        <w:rPr>
          <w:rFonts w:hint="eastAsia" w:ascii="宋体" w:hAnsi="宋体" w:eastAsia="宋体" w:cs="宋体"/>
          <w:szCs w:val="21"/>
          <w:u w:val="single"/>
        </w:rPr>
        <w:t xml:space="preserve"> 安徽交运集团汽车销售有限公司</w:t>
      </w:r>
    </w:p>
    <w:p>
      <w:pPr>
        <w:snapToGrid w:val="0"/>
        <w:spacing w:line="440" w:lineRule="exact"/>
        <w:ind w:firstLine="420" w:firstLineChars="200"/>
        <w:rPr>
          <w:rFonts w:ascii="宋体" w:hAnsi="宋体" w:eastAsia="宋体" w:cs="宋体"/>
          <w:szCs w:val="21"/>
        </w:rPr>
      </w:pPr>
      <w:r>
        <w:rPr>
          <w:rFonts w:hint="eastAsia" w:ascii="宋体" w:hAnsi="宋体" w:eastAsia="宋体" w:cs="宋体"/>
          <w:szCs w:val="21"/>
        </w:rPr>
        <w:t>1.3 项目概况：</w:t>
      </w:r>
      <w:r>
        <w:rPr>
          <w:rFonts w:hint="eastAsia" w:ascii="宋体" w:hAnsi="宋体" w:eastAsia="宋体" w:cs="宋体"/>
          <w:szCs w:val="21"/>
          <w:u w:val="single"/>
        </w:rPr>
        <w:t xml:space="preserve"> 采购1台轿车，1台越野车。</w:t>
      </w:r>
    </w:p>
    <w:p>
      <w:pPr>
        <w:pStyle w:val="3"/>
        <w:snapToGrid w:val="0"/>
        <w:spacing w:before="120" w:after="120" w:line="560" w:lineRule="exact"/>
        <w:ind w:firstLine="403"/>
        <w:rPr>
          <w:rFonts w:ascii="宋体" w:hAnsi="宋体" w:eastAsia="宋体" w:cs="宋体"/>
          <w:bCs w:val="0"/>
          <w:sz w:val="21"/>
          <w:szCs w:val="21"/>
        </w:rPr>
      </w:pPr>
      <w:bookmarkStart w:id="9" w:name="_Toc18453"/>
      <w:bookmarkStart w:id="10" w:name="_Toc18367_WPSOffice_Level2"/>
      <w:bookmarkStart w:id="11" w:name="_Toc8128_WPSOffice_Level2"/>
      <w:bookmarkStart w:id="12" w:name="_Toc525632586"/>
      <w:bookmarkStart w:id="13" w:name="_Toc17858_WPSOffice_Level2"/>
      <w:bookmarkStart w:id="14" w:name="_Toc23266_WPSOffice_Level2"/>
      <w:bookmarkStart w:id="15" w:name="_Toc10274"/>
      <w:r>
        <w:rPr>
          <w:rFonts w:hint="eastAsia" w:ascii="宋体" w:hAnsi="宋体" w:eastAsia="宋体" w:cs="宋体"/>
          <w:bCs w:val="0"/>
          <w:sz w:val="21"/>
          <w:szCs w:val="21"/>
        </w:rPr>
        <w:t>采购说明</w:t>
      </w:r>
      <w:bookmarkEnd w:id="9"/>
      <w:bookmarkEnd w:id="10"/>
      <w:bookmarkEnd w:id="11"/>
      <w:bookmarkEnd w:id="12"/>
      <w:bookmarkEnd w:id="13"/>
      <w:bookmarkEnd w:id="14"/>
      <w:bookmarkEnd w:id="15"/>
    </w:p>
    <w:p>
      <w:pPr>
        <w:snapToGrid w:val="0"/>
        <w:spacing w:line="480" w:lineRule="auto"/>
        <w:ind w:firstLine="420" w:firstLineChars="200"/>
        <w:rPr>
          <w:rFonts w:ascii="宋体" w:hAnsi="宋体" w:eastAsia="宋体" w:cs="宋体"/>
          <w:szCs w:val="21"/>
          <w:u w:val="single"/>
        </w:rPr>
      </w:pPr>
      <w:bookmarkStart w:id="16" w:name="_Toc4489_WPSOffice_Level3"/>
      <w:r>
        <w:rPr>
          <w:rFonts w:hint="eastAsia" w:ascii="宋体" w:hAnsi="宋体" w:eastAsia="宋体" w:cs="宋体"/>
          <w:szCs w:val="21"/>
        </w:rPr>
        <w:t>2.1 采购方式：</w:t>
      </w:r>
      <w:bookmarkEnd w:id="16"/>
      <w:r>
        <w:rPr>
          <w:rFonts w:hint="eastAsia" w:ascii="宋体" w:hAnsi="宋体" w:eastAsia="宋体" w:cs="宋体"/>
          <w:szCs w:val="21"/>
          <w:u w:val="single"/>
        </w:rPr>
        <w:t>公开询比采购</w:t>
      </w:r>
    </w:p>
    <w:p>
      <w:pPr>
        <w:snapToGrid w:val="0"/>
        <w:spacing w:line="480" w:lineRule="auto"/>
        <w:ind w:firstLine="420" w:firstLineChars="200"/>
        <w:rPr>
          <w:rFonts w:ascii="宋体" w:hAnsi="宋体" w:eastAsia="宋体" w:cs="宋体"/>
          <w:szCs w:val="21"/>
          <w:u w:val="single"/>
        </w:rPr>
      </w:pPr>
      <w:bookmarkStart w:id="17" w:name="_Toc23266_WPSOffice_Level3"/>
      <w:r>
        <w:rPr>
          <w:rFonts w:hint="eastAsia" w:ascii="宋体" w:hAnsi="宋体" w:eastAsia="宋体" w:cs="宋体"/>
          <w:szCs w:val="21"/>
        </w:rPr>
        <w:t>2.2 资金来源及比例：</w:t>
      </w:r>
      <w:bookmarkEnd w:id="17"/>
      <w:bookmarkStart w:id="18" w:name="_Toc22379_WPSOffice_Level3"/>
      <w:r>
        <w:rPr>
          <w:rFonts w:hint="eastAsia" w:ascii="宋体" w:hAnsi="宋体" w:eastAsia="宋体" w:cs="宋体"/>
          <w:szCs w:val="21"/>
          <w:u w:val="single"/>
        </w:rPr>
        <w:t>企业自筹</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2.3 采购范围：</w:t>
      </w:r>
      <w:r>
        <w:rPr>
          <w:rFonts w:hint="eastAsia" w:ascii="宋体" w:hAnsi="宋体" w:eastAsia="宋体" w:cs="宋体"/>
          <w:szCs w:val="21"/>
          <w:u w:val="single"/>
        </w:rPr>
        <w:t>采购1台轿车，1台越野车。</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2.4 合同包划分：</w:t>
      </w:r>
      <w:r>
        <w:rPr>
          <w:rFonts w:hint="eastAsia" w:ascii="宋体" w:hAnsi="宋体" w:eastAsia="宋体" w:cs="宋体"/>
          <w:szCs w:val="21"/>
          <w:u w:val="single"/>
        </w:rPr>
        <w:t>采购1台帕萨特PA280TSI精英版</w:t>
      </w:r>
      <w:r>
        <w:rPr>
          <w:rFonts w:hint="eastAsia" w:ascii="宋体" w:hAnsi="宋体" w:eastAsia="宋体" w:cs="宋体"/>
          <w:szCs w:val="21"/>
          <w:u w:val="single"/>
          <w:lang w:val="en-US" w:eastAsia="zh-CN"/>
        </w:rPr>
        <w:t xml:space="preserve"> 18万</w:t>
      </w:r>
      <w:r>
        <w:rPr>
          <w:rFonts w:hint="eastAsia" w:ascii="宋体" w:hAnsi="宋体" w:eastAsia="宋体" w:cs="宋体"/>
          <w:szCs w:val="21"/>
          <w:u w:val="single"/>
        </w:rPr>
        <w:t>，1台途昂X</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380TSI尊崇豪华版</w:t>
      </w:r>
      <w:r>
        <w:rPr>
          <w:rFonts w:hint="eastAsia" w:ascii="宋体" w:hAnsi="宋体" w:eastAsia="宋体" w:cs="宋体"/>
          <w:szCs w:val="21"/>
          <w:u w:val="single"/>
          <w:lang w:val="en-US" w:eastAsia="zh-CN"/>
        </w:rPr>
        <w:t xml:space="preserve">28万 </w:t>
      </w:r>
      <w:bookmarkStart w:id="139" w:name="_GoBack"/>
      <w:bookmarkEnd w:id="139"/>
      <w:r>
        <w:rPr>
          <w:rFonts w:hint="eastAsia" w:ascii="宋体" w:hAnsi="宋体" w:eastAsia="宋体" w:cs="宋体"/>
          <w:szCs w:val="21"/>
          <w:u w:val="single"/>
        </w:rPr>
        <w:t>（分列项不分包）</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2.5 最高限价：</w:t>
      </w:r>
      <w:bookmarkEnd w:id="18"/>
      <w:r>
        <w:rPr>
          <w:rFonts w:hint="eastAsia" w:ascii="宋体" w:hAnsi="宋体" w:eastAsia="宋体" w:cs="宋体"/>
          <w:szCs w:val="21"/>
          <w:u w:val="single"/>
        </w:rPr>
        <w:t xml:space="preserve"> 46万</w:t>
      </w:r>
      <w:r>
        <w:rPr>
          <w:rFonts w:hint="eastAsia" w:ascii="宋体" w:hAnsi="宋体" w:eastAsia="宋体" w:cs="宋体"/>
          <w:szCs w:val="21"/>
          <w:u w:val="single"/>
          <w:lang w:val="en-US" w:eastAsia="zh-CN"/>
        </w:rPr>
        <w:t>(不含购置税)</w:t>
      </w:r>
      <w:r>
        <w:rPr>
          <w:rFonts w:hint="eastAsia" w:ascii="宋体" w:hAnsi="宋体" w:eastAsia="宋体" w:cs="宋体"/>
          <w:szCs w:val="21"/>
          <w:u w:val="single"/>
        </w:rPr>
        <w:t xml:space="preserve"> </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2.6 计划交货期：</w:t>
      </w:r>
      <w:r>
        <w:rPr>
          <w:rFonts w:hint="eastAsia" w:ascii="宋体" w:hAnsi="宋体" w:eastAsia="宋体" w:cs="宋体"/>
          <w:szCs w:val="21"/>
          <w:u w:val="single"/>
        </w:rPr>
        <w:t xml:space="preserve"> 合同签订后30日内完成交货</w:t>
      </w:r>
    </w:p>
    <w:p>
      <w:pPr>
        <w:pStyle w:val="3"/>
        <w:snapToGrid w:val="0"/>
        <w:spacing w:before="120" w:after="120" w:line="560" w:lineRule="exact"/>
        <w:ind w:firstLine="403"/>
        <w:rPr>
          <w:rFonts w:ascii="宋体" w:hAnsi="宋体" w:eastAsia="宋体" w:cs="宋体"/>
          <w:bCs w:val="0"/>
          <w:sz w:val="21"/>
          <w:szCs w:val="21"/>
        </w:rPr>
      </w:pPr>
      <w:bookmarkStart w:id="19" w:name="_Toc6388"/>
      <w:bookmarkStart w:id="20" w:name="_Toc31673_WPSOffice_Level2"/>
      <w:bookmarkStart w:id="21" w:name="_Toc22379_WPSOffice_Level2"/>
      <w:bookmarkStart w:id="22" w:name="_Toc525632587"/>
      <w:bookmarkStart w:id="23" w:name="_Toc1622_WPSOffice_Level2"/>
      <w:bookmarkStart w:id="24" w:name="_Toc3714"/>
      <w:bookmarkStart w:id="25" w:name="_Toc29516_WPSOffice_Level2"/>
      <w:r>
        <w:rPr>
          <w:rFonts w:hint="eastAsia" w:ascii="宋体" w:hAnsi="宋体" w:eastAsia="宋体" w:cs="宋体"/>
          <w:bCs w:val="0"/>
          <w:sz w:val="21"/>
          <w:szCs w:val="21"/>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3.1 本次采购要求供应商须同时具备：</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（1）资质最低要求：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供应商应具备车辆的销售资质，具备独立法人资格；</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业绩最低要求：</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近3年（时间以响应文件递交截止日期为准）具备汽车销售业绩，销售车辆不得少于1台。</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（3）信誉要求最低要求：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①未被责令停业，暂扣或吊销执照，或吊销资质证书；</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②未进入清算程序，或被宣告破产，或其他丧失履约能力的情形；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③在国家企业信用信息公示系统（http://www.gsxt.gov.cn）中未被列入严重违法失信企业名单；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④在“信用中国”网站（http://www.creditchina.gov.cn）中未被列入失信被执行人名单；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⑤在近三年内（自响应文件递交截止之日向前追溯3年）供应商或其法定代表人未有行贿犯罪行为；</w:t>
      </w:r>
    </w:p>
    <w:p>
      <w:pPr>
        <w:pStyle w:val="13"/>
        <w:spacing w:line="560" w:lineRule="exact"/>
        <w:ind w:left="0" w:leftChars="0"/>
        <w:rPr>
          <w:rFonts w:ascii="宋体" w:hAnsi="宋体" w:eastAsia="宋体" w:cs="宋体"/>
          <w:szCs w:val="21"/>
        </w:rPr>
      </w:pPr>
      <w:r>
        <w:rPr>
          <w:rFonts w:hint="eastAsia" w:ascii="宋体" w:hAnsi="宋体" w:eastAsia="宋体" w:cs="宋体"/>
          <w:szCs w:val="21"/>
          <w:shd w:val="clear" w:color="auto" w:fill="FFFFFF"/>
        </w:rPr>
        <w:t>⑥其他要求：没有法律法规规定的其他违规情形。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3.2 联合体：本次采购不接受联合体报价。</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3.3 单位负责人为同一人或者存在控股、管理关系的不同单位，不得同时参加同一合同包报价，否则相关响应文件均无效。</w:t>
      </w:r>
    </w:p>
    <w:p>
      <w:pPr>
        <w:pStyle w:val="3"/>
        <w:snapToGrid w:val="0"/>
        <w:spacing w:before="120" w:after="120" w:line="560" w:lineRule="exact"/>
        <w:ind w:firstLine="403"/>
        <w:rPr>
          <w:rFonts w:ascii="宋体" w:hAnsi="宋体" w:eastAsia="宋体" w:cs="宋体"/>
          <w:bCs w:val="0"/>
          <w:sz w:val="21"/>
          <w:szCs w:val="21"/>
        </w:rPr>
      </w:pPr>
      <w:bookmarkStart w:id="26" w:name="_Toc25666_WPSOffice_Level2"/>
      <w:bookmarkStart w:id="27" w:name="_Toc4751"/>
      <w:bookmarkStart w:id="28" w:name="_Toc2996_WPSOffice_Level2"/>
      <w:bookmarkStart w:id="29" w:name="_Toc525632588"/>
      <w:bookmarkStart w:id="30" w:name="_Toc1994"/>
      <w:bookmarkStart w:id="31" w:name="_Toc29452_WPSOffice_Level2"/>
      <w:bookmarkStart w:id="32" w:name="_Toc4109_WPSOffice_Level2"/>
      <w:r>
        <w:rPr>
          <w:rFonts w:hint="eastAsia" w:ascii="宋体" w:hAnsi="宋体" w:eastAsia="宋体" w:cs="宋体"/>
          <w:bCs w:val="0"/>
          <w:sz w:val="21"/>
          <w:szCs w:val="21"/>
        </w:rPr>
        <w:t>询比文件的获取</w:t>
      </w:r>
      <w:bookmarkEnd w:id="26"/>
      <w:bookmarkEnd w:id="27"/>
      <w:bookmarkEnd w:id="28"/>
      <w:bookmarkEnd w:id="29"/>
      <w:bookmarkEnd w:id="30"/>
      <w:bookmarkEnd w:id="31"/>
      <w:bookmarkEnd w:id="32"/>
    </w:p>
    <w:p>
      <w:pPr>
        <w:snapToGrid w:val="0"/>
        <w:spacing w:line="560" w:lineRule="exact"/>
        <w:ind w:firstLine="367" w:firstLineChars="175"/>
        <w:rPr>
          <w:rFonts w:ascii="宋体" w:hAnsi="宋体" w:eastAsia="宋体" w:cs="宋体"/>
          <w:szCs w:val="21"/>
        </w:rPr>
      </w:pPr>
      <w:r>
        <w:rPr>
          <w:rFonts w:hint="eastAsia" w:ascii="宋体" w:hAnsi="宋体" w:eastAsia="宋体" w:cs="宋体"/>
          <w:szCs w:val="21"/>
        </w:rPr>
        <w:t>供应商应在递交响应文件的截止时间前登录安徽交运集团网站（http://www.ahjyjt.com.cn/），选择所参加的合同包，自行下载询比文件及相关资料。</w:t>
      </w:r>
    </w:p>
    <w:p>
      <w:pPr>
        <w:pStyle w:val="3"/>
        <w:snapToGrid w:val="0"/>
        <w:spacing w:before="120" w:after="120" w:line="560" w:lineRule="exact"/>
        <w:ind w:firstLine="403"/>
        <w:rPr>
          <w:rFonts w:ascii="宋体" w:hAnsi="宋体" w:eastAsia="宋体" w:cs="宋体"/>
          <w:bCs w:val="0"/>
          <w:sz w:val="21"/>
          <w:szCs w:val="21"/>
        </w:rPr>
      </w:pPr>
      <w:bookmarkStart w:id="33" w:name="_Toc525632589"/>
      <w:bookmarkStart w:id="34" w:name="_Toc726"/>
      <w:r>
        <w:rPr>
          <w:rFonts w:hint="eastAsia" w:ascii="宋体" w:hAnsi="宋体" w:eastAsia="宋体" w:cs="宋体"/>
          <w:bCs w:val="0"/>
          <w:sz w:val="21"/>
          <w:szCs w:val="21"/>
        </w:rPr>
        <w:t>响应文件的递交</w:t>
      </w:r>
      <w:bookmarkEnd w:id="33"/>
      <w:bookmarkEnd w:id="34"/>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响应文件递交的截止时间为</w:t>
      </w:r>
      <w:r>
        <w:rPr>
          <w:rFonts w:hint="eastAsia" w:ascii="宋体" w:hAnsi="宋体" w:eastAsia="宋体" w:cs="宋体"/>
          <w:szCs w:val="21"/>
          <w:u w:val="single"/>
        </w:rPr>
        <w:t xml:space="preserve"> 2024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2</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29</w:t>
      </w:r>
      <w:r>
        <w:rPr>
          <w:rFonts w:hint="eastAsia" w:ascii="宋体" w:hAnsi="宋体" w:eastAsia="宋体" w:cs="宋体"/>
          <w:szCs w:val="21"/>
          <w:u w:val="single"/>
        </w:rPr>
        <w:t xml:space="preserve"> </w:t>
      </w:r>
      <w:r>
        <w:rPr>
          <w:rFonts w:hint="eastAsia" w:ascii="宋体" w:hAnsi="宋体" w:eastAsia="宋体" w:cs="宋体"/>
          <w:szCs w:val="21"/>
        </w:rPr>
        <w:t>日</w:t>
      </w:r>
      <w:r>
        <w:rPr>
          <w:rFonts w:hint="eastAsia" w:ascii="宋体" w:hAnsi="宋体" w:eastAsia="宋体" w:cs="宋体"/>
          <w:szCs w:val="21"/>
          <w:u w:val="single"/>
        </w:rPr>
        <w:t xml:space="preserve"> 10 </w:t>
      </w:r>
      <w:r>
        <w:rPr>
          <w:rFonts w:hint="eastAsia" w:ascii="宋体" w:hAnsi="宋体" w:eastAsia="宋体" w:cs="宋体"/>
          <w:szCs w:val="21"/>
        </w:rPr>
        <w:t>时</w:t>
      </w:r>
      <w:r>
        <w:rPr>
          <w:rFonts w:hint="eastAsia" w:ascii="宋体" w:hAnsi="宋体" w:eastAsia="宋体" w:cs="宋体"/>
          <w:szCs w:val="21"/>
          <w:u w:val="single"/>
        </w:rPr>
        <w:t xml:space="preserve"> 00 </w:t>
      </w:r>
      <w:r>
        <w:rPr>
          <w:rFonts w:hint="eastAsia" w:ascii="宋体" w:hAnsi="宋体" w:eastAsia="宋体" w:cs="宋体"/>
          <w:szCs w:val="21"/>
        </w:rPr>
        <w:t>分，供应商的法定代表人或其授权代理人应于截止时间前将响应文件递交至</w:t>
      </w:r>
      <w:r>
        <w:rPr>
          <w:rFonts w:hint="eastAsia" w:ascii="宋体" w:hAnsi="宋体" w:eastAsia="宋体" w:cs="宋体"/>
          <w:szCs w:val="21"/>
          <w:u w:val="single"/>
        </w:rPr>
        <w:t xml:space="preserve">  合肥市胜利路35号，交通饭店三楼 汽车销售有限公司 </w:t>
      </w:r>
      <w:r>
        <w:rPr>
          <w:rFonts w:hint="eastAsia" w:ascii="宋体" w:hAnsi="宋体" w:eastAsia="宋体" w:cs="宋体"/>
          <w:szCs w:val="21"/>
        </w:rPr>
        <w:t>（地点）。</w:t>
      </w:r>
    </w:p>
    <w:p>
      <w:pPr>
        <w:pStyle w:val="3"/>
        <w:snapToGrid w:val="0"/>
        <w:spacing w:before="120" w:after="120" w:line="560" w:lineRule="exact"/>
        <w:ind w:firstLine="403"/>
        <w:rPr>
          <w:rFonts w:ascii="宋体" w:hAnsi="宋体" w:eastAsia="宋体" w:cs="宋体"/>
          <w:bCs w:val="0"/>
          <w:sz w:val="21"/>
          <w:szCs w:val="21"/>
        </w:rPr>
      </w:pPr>
      <w:bookmarkStart w:id="35" w:name="_Toc525632591"/>
      <w:bookmarkStart w:id="36" w:name="_Toc22719"/>
      <w:r>
        <w:rPr>
          <w:rFonts w:hint="eastAsia" w:ascii="宋体" w:hAnsi="宋体" w:eastAsia="宋体" w:cs="宋体"/>
          <w:bCs w:val="0"/>
          <w:sz w:val="21"/>
          <w:szCs w:val="21"/>
        </w:rPr>
        <w:t>响应文件启封</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响应文件的递交截止时间到后，采购人将于_</w:t>
      </w:r>
      <w:r>
        <w:rPr>
          <w:rFonts w:hint="eastAsia" w:ascii="宋体" w:hAnsi="宋体" w:eastAsia="宋体" w:cs="宋体"/>
          <w:szCs w:val="21"/>
          <w:u w:val="single"/>
        </w:rPr>
        <w:t>交通饭店三楼会议室</w:t>
      </w:r>
      <w:r>
        <w:rPr>
          <w:rFonts w:hint="eastAsia" w:ascii="宋体" w:hAnsi="宋体" w:eastAsia="宋体" w:cs="宋体"/>
          <w:szCs w:val="21"/>
        </w:rPr>
        <w:t>_（地点）组织进行响应文件的启封。供应商的法定代表人或授权代理人应携带本人身份证、授权代理人应携带授权委托书准时参加启封会议。</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响应保证金</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本项目不收取响应保证金。</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发布公告的媒介</w:t>
      </w:r>
      <w:bookmarkEnd w:id="35"/>
      <w:bookmarkEnd w:id="36"/>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本次采购公告在安徽交运集团网站（http://www.ahjyjt.com.cn/）上发布。</w:t>
      </w:r>
    </w:p>
    <w:p>
      <w:pPr>
        <w:pStyle w:val="3"/>
        <w:snapToGrid w:val="0"/>
        <w:spacing w:before="120" w:after="120" w:line="560" w:lineRule="exact"/>
        <w:ind w:firstLine="403"/>
        <w:rPr>
          <w:rFonts w:ascii="宋体" w:hAnsi="宋体" w:eastAsia="宋体" w:cs="宋体"/>
          <w:bCs w:val="0"/>
          <w:sz w:val="21"/>
          <w:szCs w:val="21"/>
        </w:rPr>
      </w:pPr>
      <w:bookmarkStart w:id="37" w:name="_Toc26829"/>
      <w:bookmarkStart w:id="38" w:name="_Toc28571_WPSOffice_Level2"/>
      <w:bookmarkStart w:id="39" w:name="_Toc321_WPSOffice_Level2"/>
      <w:bookmarkStart w:id="40" w:name="_Toc8501"/>
      <w:bookmarkStart w:id="41" w:name="_Toc20572_WPSOffice_Level2"/>
      <w:bookmarkStart w:id="42" w:name="_Toc525632592"/>
      <w:bookmarkStart w:id="43" w:name="_Toc14943_WPSOffice_Level2"/>
      <w:r>
        <w:rPr>
          <w:rFonts w:hint="eastAsia" w:ascii="宋体" w:hAnsi="宋体" w:eastAsia="宋体" w:cs="宋体"/>
          <w:bCs w:val="0"/>
          <w:sz w:val="21"/>
          <w:szCs w:val="21"/>
        </w:rPr>
        <w:t>采购人联系方式</w:t>
      </w:r>
      <w:bookmarkEnd w:id="37"/>
      <w:bookmarkEnd w:id="38"/>
      <w:bookmarkEnd w:id="39"/>
      <w:bookmarkEnd w:id="40"/>
      <w:bookmarkEnd w:id="41"/>
      <w:bookmarkEnd w:id="42"/>
      <w:bookmarkEnd w:id="43"/>
    </w:p>
    <w:p>
      <w:pPr>
        <w:spacing w:line="560" w:lineRule="exact"/>
        <w:ind w:firstLine="420" w:firstLineChars="200"/>
        <w:rPr>
          <w:rFonts w:ascii="宋体" w:hAnsi="宋体" w:eastAsia="宋体" w:cs="宋体"/>
          <w:szCs w:val="21"/>
        </w:rPr>
      </w:pPr>
      <w:r>
        <w:rPr>
          <w:rFonts w:hint="eastAsia" w:ascii="宋体" w:hAnsi="宋体" w:eastAsia="宋体" w:cs="宋体"/>
          <w:szCs w:val="21"/>
        </w:rPr>
        <w:t>采 购 人：</w:t>
      </w:r>
      <w:r>
        <w:rPr>
          <w:rFonts w:hint="eastAsia" w:ascii="宋体" w:hAnsi="宋体" w:eastAsia="宋体" w:cs="宋体"/>
          <w:szCs w:val="21"/>
          <w:u w:val="single"/>
        </w:rPr>
        <w:t xml:space="preserve"> 安徽交运集团汽车销售有限公司 </w:t>
      </w:r>
    </w:p>
    <w:p>
      <w:pPr>
        <w:spacing w:line="560" w:lineRule="exact"/>
        <w:ind w:firstLine="420" w:firstLineChars="200"/>
        <w:rPr>
          <w:rFonts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合肥市胜利路35号 交通饭店 </w:t>
      </w:r>
    </w:p>
    <w:p>
      <w:pPr>
        <w:spacing w:line="560" w:lineRule="exact"/>
        <w:ind w:firstLine="420" w:firstLineChars="200"/>
        <w:rPr>
          <w:rFonts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230011 </w:t>
      </w:r>
    </w:p>
    <w:p>
      <w:pPr>
        <w:spacing w:line="560" w:lineRule="exact"/>
        <w:ind w:firstLine="420" w:firstLineChars="200"/>
        <w:rPr>
          <w:rFonts w:ascii="宋体" w:hAnsi="宋体" w:eastAsia="宋体" w:cs="宋体"/>
          <w:szCs w:val="21"/>
        </w:rPr>
      </w:pPr>
      <w:r>
        <w:rPr>
          <w:rFonts w:hint="eastAsia" w:ascii="宋体" w:hAnsi="宋体" w:eastAsia="宋体" w:cs="宋体"/>
          <w:szCs w:val="21"/>
        </w:rPr>
        <w:t>联 系 人：</w:t>
      </w:r>
      <w:r>
        <w:rPr>
          <w:rFonts w:hint="eastAsia" w:ascii="宋体" w:hAnsi="宋体" w:eastAsia="宋体" w:cs="宋体"/>
          <w:szCs w:val="21"/>
          <w:u w:val="single"/>
        </w:rPr>
        <w:t xml:space="preserve"> 张倩 </w:t>
      </w:r>
      <w:r>
        <w:rPr>
          <w:rFonts w:hint="eastAsia" w:ascii="宋体" w:hAnsi="宋体" w:eastAsia="宋体" w:cs="宋体"/>
          <w:szCs w:val="21"/>
        </w:rPr>
        <w:t xml:space="preserve">  </w:t>
      </w:r>
    </w:p>
    <w:p>
      <w:pPr>
        <w:spacing w:line="560" w:lineRule="exact"/>
        <w:ind w:firstLine="420" w:firstLineChars="200"/>
        <w:rPr>
          <w:rFonts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 xml:space="preserve">0551-64299058 </w:t>
      </w:r>
    </w:p>
    <w:p>
      <w:pPr>
        <w:spacing w:line="560" w:lineRule="exact"/>
        <w:ind w:firstLine="420" w:firstLineChars="200"/>
        <w:rPr>
          <w:rFonts w:ascii="宋体" w:hAnsi="宋体" w:eastAsia="宋体" w:cs="宋体"/>
          <w:szCs w:val="21"/>
        </w:rPr>
      </w:pPr>
      <w:r>
        <w:rPr>
          <w:rFonts w:hint="eastAsia" w:ascii="宋体" w:hAnsi="宋体" w:eastAsia="宋体" w:cs="宋体"/>
          <w:szCs w:val="21"/>
        </w:rPr>
        <w:t>电子邮箱：</w:t>
      </w:r>
      <w:r>
        <w:rPr>
          <w:rFonts w:hint="eastAsia" w:ascii="宋体" w:hAnsi="宋体" w:eastAsia="宋体" w:cs="宋体"/>
          <w:szCs w:val="21"/>
          <w:u w:val="single"/>
        </w:rPr>
        <w:t xml:space="preserve"> ahjyxs@163.com </w:t>
      </w:r>
      <w:r>
        <w:rPr>
          <w:rFonts w:hint="eastAsia" w:ascii="宋体" w:hAnsi="宋体" w:eastAsia="宋体" w:cs="宋体"/>
          <w:szCs w:val="21"/>
        </w:rPr>
        <w:t xml:space="preserve"> </w:t>
      </w:r>
    </w:p>
    <w:p>
      <w:pPr>
        <w:pStyle w:val="5"/>
        <w:rPr>
          <w:rFonts w:ascii="宋体" w:hAnsi="宋体" w:eastAsia="宋体" w:cs="宋体"/>
          <w:szCs w:val="21"/>
        </w:rPr>
      </w:pPr>
    </w:p>
    <w:p>
      <w:pPr>
        <w:pStyle w:val="5"/>
        <w:rPr>
          <w:rFonts w:ascii="宋体" w:hAnsi="宋体" w:eastAsia="宋体" w:cs="宋体"/>
          <w:szCs w:val="21"/>
        </w:rPr>
      </w:pPr>
    </w:p>
    <w:p>
      <w:pPr>
        <w:pStyle w:val="21"/>
        <w:jc w:val="center"/>
        <w:rPr>
          <w:rFonts w:hint="default" w:ascii="Times New Roman" w:hAnsi="Times New Roman"/>
          <w:color w:val="auto"/>
          <w:sz w:val="21"/>
          <w:szCs w:val="22"/>
        </w:rPr>
      </w:pPr>
      <w:r>
        <w:rPr>
          <w:rFonts w:hint="default" w:ascii="Times New Roman" w:hAnsi="Times New Roman"/>
          <w:color w:val="auto"/>
          <w:sz w:val="21"/>
          <w:szCs w:val="21"/>
        </w:rPr>
        <w:t xml:space="preserve">              </w:t>
      </w:r>
      <w:r>
        <w:rPr>
          <w:rFonts w:hint="default" w:ascii="Times New Roman" w:hAnsi="Times New Roman"/>
          <w:color w:val="auto"/>
          <w:sz w:val="21"/>
          <w:szCs w:val="22"/>
        </w:rPr>
        <w:t xml:space="preserve">                            </w:t>
      </w:r>
    </w:p>
    <w:p>
      <w:pPr>
        <w:pStyle w:val="21"/>
        <w:jc w:val="right"/>
        <w:rPr>
          <w:rFonts w:hint="default" w:ascii="Times New Roman" w:hAnsi="Times New Roman"/>
          <w:color w:val="auto"/>
          <w:szCs w:val="28"/>
        </w:rPr>
      </w:pPr>
      <w:r>
        <w:rPr>
          <w:rFonts w:ascii="Times New Roman" w:hAnsi="Times New Roman"/>
          <w:color w:val="auto"/>
          <w:sz w:val="21"/>
          <w:szCs w:val="22"/>
        </w:rPr>
        <w:t xml:space="preserve">2024 </w:t>
      </w:r>
      <w:r>
        <w:rPr>
          <w:rFonts w:hint="default" w:ascii="Times New Roman" w:hAnsi="Times New Roman"/>
          <w:color w:val="auto"/>
          <w:sz w:val="21"/>
          <w:szCs w:val="22"/>
        </w:rPr>
        <w:t>年</w:t>
      </w:r>
      <w:r>
        <w:rPr>
          <w:rFonts w:ascii="Times New Roman" w:hAnsi="Times New Roman"/>
          <w:color w:val="auto"/>
          <w:sz w:val="21"/>
          <w:szCs w:val="22"/>
        </w:rPr>
        <w:t xml:space="preserve"> 2 </w:t>
      </w:r>
      <w:r>
        <w:rPr>
          <w:rFonts w:hint="default" w:ascii="Times New Roman" w:hAnsi="Times New Roman"/>
          <w:color w:val="auto"/>
          <w:sz w:val="21"/>
          <w:szCs w:val="22"/>
        </w:rPr>
        <w:t>月</w:t>
      </w:r>
      <w:r>
        <w:rPr>
          <w:rFonts w:ascii="Times New Roman" w:hAnsi="Times New Roman"/>
          <w:color w:val="auto"/>
          <w:sz w:val="21"/>
          <w:szCs w:val="22"/>
        </w:rPr>
        <w:t xml:space="preserve"> 21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第二章 </w:t>
      </w:r>
      <w:r>
        <w:rPr>
          <w:rFonts w:ascii="Times New Roman" w:hAnsi="Times New Roman" w:eastAsia="宋体" w:cs="Times New Roman"/>
        </w:rPr>
        <w:t>供应商须知</w:t>
      </w:r>
    </w:p>
    <w:p>
      <w:pPr>
        <w:keepNext/>
        <w:keepLines/>
        <w:spacing w:beforeLines="50"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__</w:t>
      </w:r>
      <w:r>
        <w:rPr>
          <w:rFonts w:hint="eastAsia" w:ascii="Times New Roman" w:hAnsi="Times New Roman" w:cs="Times New Roman"/>
          <w:szCs w:val="21"/>
          <w:u w:val="single"/>
        </w:rPr>
        <w:t>符合国家标准</w:t>
      </w:r>
      <w:r>
        <w:rPr>
          <w:rFonts w:hint="eastAsia" w:ascii="Times New Roman" w:hAnsi="Times New Roman" w:cs="Times New Roman"/>
          <w:szCs w:val="21"/>
        </w:rPr>
        <w:t>__。</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 xml:space="preserve">无 </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 xml:space="preserve">不分包。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（7）技术性能（质量）指标描述；</w:t>
      </w:r>
    </w:p>
    <w:p>
      <w:pPr>
        <w:spacing w:line="440" w:lineRule="exact"/>
        <w:ind w:firstLine="420"/>
        <w:rPr>
          <w:rFonts w:ascii="Times New Roman" w:hAnsi="Times New Roman" w:cs="Times New Roman"/>
        </w:rPr>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color w:val="0000FF"/>
        </w:rPr>
      </w:pPr>
      <w:r>
        <w:rPr>
          <w:rFonts w:ascii="Times New Roman" w:hAnsi="Times New Roman" w:cs="Times New Roman"/>
          <w:color w:val="0000FF"/>
        </w:rPr>
        <w:t>3.2.1 报价应包括国家规定的增值税税金</w:t>
      </w:r>
      <w:r>
        <w:rPr>
          <w:rFonts w:hint="eastAsia" w:ascii="Times New Roman" w:hAnsi="Times New Roman" w:cs="Times New Roman"/>
          <w:color w:val="0000FF"/>
        </w:rPr>
        <w:t>，供应商应提供增值税发票13%</w:t>
      </w:r>
      <w:r>
        <w:rPr>
          <w:rFonts w:ascii="Times New Roman" w:hAnsi="Times New Roman" w:cs="Times New Roman"/>
          <w:color w:val="0000FF"/>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（单价/总价）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u w:val="single"/>
        </w:rPr>
        <w:t>无</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spacing w:line="440" w:lineRule="exact"/>
        <w:rPr>
          <w:rFonts w:ascii="Times New Roman" w:hAnsi="Times New Roman" w:eastAsia="黑体" w:cs="Times New Roman"/>
          <w:bCs/>
          <w:sz w:val="24"/>
          <w:szCs w:val="32"/>
        </w:rPr>
      </w:pPr>
      <w:r>
        <w:rPr>
          <w:rFonts w:ascii="Times New Roman" w:hAnsi="Times New Roman" w:eastAsia="黑体" w:cs="Times New Roman"/>
          <w:bCs/>
          <w:sz w:val="24"/>
          <w:szCs w:val="32"/>
        </w:rPr>
        <w:t>3.4资格审查资料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.2 响应文件应当对询比文件有关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rPr>
        <w:t>一</w:t>
      </w:r>
      <w:r>
        <w:rPr>
          <w:rFonts w:ascii="Times New Roman" w:hAnsi="Times New Roman"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4.1.1响应文件</w:t>
      </w:r>
      <w:r>
        <w:rPr>
          <w:rFonts w:hint="eastAsia" w:ascii="Times New Roman" w:hAnsi="Times New Roman" w:cs="Times New Roman"/>
          <w:highlight w:val="green"/>
        </w:rPr>
        <w:t>正、副本</w:t>
      </w:r>
      <w:r>
        <w:rPr>
          <w:rFonts w:ascii="Times New Roman" w:hAnsi="Times New Roman" w:cs="Times New Roman"/>
          <w:highlight w:val="green"/>
        </w:rPr>
        <w:t>应</w:t>
      </w:r>
      <w:r>
        <w:rPr>
          <w:rFonts w:hint="eastAsia" w:ascii="Times New Roman" w:hAnsi="Times New Roman" w:cs="Times New Roman"/>
          <w:highlight w:val="green"/>
        </w:rPr>
        <w:t>胶装</w:t>
      </w:r>
      <w:r>
        <w:rPr>
          <w:rFonts w:ascii="Times New Roman" w:hAnsi="Times New Roman" w:cs="Times New Roman"/>
          <w:highlight w:val="green"/>
        </w:rPr>
        <w:t>密封包装</w:t>
      </w:r>
      <w:r>
        <w:rPr>
          <w:rFonts w:hint="eastAsia" w:ascii="Times New Roman" w:hAnsi="Times New Roman" w:cs="Times New Roman"/>
          <w:highlight w:val="green"/>
        </w:rPr>
        <w:t>在封套内，封套上注明：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xml:space="preserve">)   第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采购人有权</w:t>
      </w:r>
      <w:r>
        <w:rPr>
          <w:rFonts w:ascii="Times New Roman" w:hAnsi="Times New Roman"/>
        </w:rPr>
        <w:t>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递交响应文件表</w:t>
      </w:r>
      <w:r>
        <w:rPr>
          <w:rFonts w:ascii="Times New Roman" w:hAnsi="Times New Roman"/>
        </w:rPr>
        <w:t>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bookmarkStart w:id="44" w:name="_Toc26656972"/>
      <w:bookmarkStart w:id="45" w:name="_Toc14201241"/>
      <w:bookmarkStart w:id="46" w:name="_Toc9067725"/>
      <w:r>
        <w:rPr>
          <w:rFonts w:ascii="Times New Roman" w:hAnsi="Times New Roman" w:eastAsia="黑体" w:cs="Times New Roman"/>
          <w:bCs/>
          <w:sz w:val="24"/>
          <w:szCs w:val="32"/>
        </w:rPr>
        <w:t>6. 评</w:t>
      </w:r>
      <w:bookmarkEnd w:id="44"/>
      <w:bookmarkEnd w:id="45"/>
      <w:bookmarkEnd w:id="46"/>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47" w:name="_Toc14201242"/>
      <w:bookmarkStart w:id="48" w:name="_Toc26656973"/>
      <w:r>
        <w:rPr>
          <w:rFonts w:ascii="Times New Roman" w:hAnsi="Times New Roman" w:eastAsia="黑体" w:cs="Times New Roman"/>
          <w:bCs/>
          <w:sz w:val="24"/>
          <w:szCs w:val="32"/>
        </w:rPr>
        <w:t>6.1</w:t>
      </w:r>
      <w:bookmarkEnd w:id="47"/>
      <w:bookmarkEnd w:id="48"/>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49" w:name="_Toc26656975"/>
      <w:bookmarkStart w:id="50"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49"/>
      <w:bookmarkEnd w:id="50"/>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51" w:name="_Toc14201245"/>
      <w:bookmarkStart w:id="52" w:name="_Toc9067726"/>
      <w:bookmarkStart w:id="53" w:name="_Toc26656976"/>
      <w:r>
        <w:rPr>
          <w:rFonts w:ascii="Times New Roman" w:hAnsi="Times New Roman" w:eastAsia="黑体" w:cs="Times New Roman"/>
          <w:bCs/>
          <w:sz w:val="24"/>
          <w:szCs w:val="32"/>
        </w:rPr>
        <w:t>7. 合同授予</w:t>
      </w:r>
      <w:bookmarkEnd w:id="51"/>
      <w:bookmarkEnd w:id="52"/>
      <w:bookmarkEnd w:id="53"/>
    </w:p>
    <w:p>
      <w:pPr>
        <w:keepNext/>
        <w:keepLines/>
        <w:spacing w:before="120" w:after="120"/>
        <w:outlineLvl w:val="2"/>
        <w:rPr>
          <w:rFonts w:ascii="Times New Roman" w:hAnsi="Times New Roman" w:eastAsia="黑体" w:cs="Times New Roman"/>
          <w:bCs/>
          <w:sz w:val="24"/>
          <w:szCs w:val="32"/>
        </w:rPr>
      </w:pPr>
      <w:bookmarkStart w:id="54" w:name="_Toc14201246"/>
      <w:bookmarkStart w:id="55" w:name="_Toc26656977"/>
      <w:r>
        <w:rPr>
          <w:rFonts w:ascii="Times New Roman" w:hAnsi="Times New Roman" w:eastAsia="黑体" w:cs="Times New Roman"/>
          <w:bCs/>
          <w:sz w:val="24"/>
          <w:szCs w:val="32"/>
        </w:rPr>
        <w:t>7.1成交候选人公示</w:t>
      </w:r>
      <w:bookmarkEnd w:id="54"/>
      <w:bookmarkEnd w:id="55"/>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56" w:name="_Toc14201247"/>
      <w:bookmarkStart w:id="57" w:name="_Toc26656978"/>
      <w:r>
        <w:rPr>
          <w:rFonts w:ascii="Times New Roman" w:hAnsi="Times New Roman" w:eastAsia="黑体" w:cs="Times New Roman"/>
          <w:bCs/>
          <w:sz w:val="24"/>
          <w:szCs w:val="32"/>
        </w:rPr>
        <w:t>7.2评审结果异议</w:t>
      </w:r>
      <w:bookmarkEnd w:id="56"/>
      <w:bookmarkEnd w:id="57"/>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58" w:name="_Toc14201248"/>
      <w:bookmarkStart w:id="59" w:name="_Toc26656979"/>
      <w:r>
        <w:rPr>
          <w:rFonts w:ascii="Times New Roman" w:hAnsi="Times New Roman" w:eastAsia="黑体" w:cs="Times New Roman"/>
          <w:bCs/>
          <w:sz w:val="24"/>
          <w:szCs w:val="32"/>
        </w:rPr>
        <w:t>7.3成交候选人履约能力审查</w:t>
      </w:r>
      <w:bookmarkEnd w:id="58"/>
      <w:bookmarkEnd w:id="59"/>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0" w:name="_Toc26656984"/>
      <w:bookmarkStart w:id="61"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采购人取消其成交资格；给采购人造成的损失的，成交人还应予以赔偿。</w:t>
      </w:r>
    </w:p>
    <w:p>
      <w:pPr>
        <w:keepNext/>
        <w:keepLines/>
        <w:spacing w:beforeLines="50" w:afterLines="50"/>
        <w:outlineLvl w:val="1"/>
        <w:rPr>
          <w:rFonts w:ascii="Times New Roman" w:hAnsi="Times New Roman" w:eastAsia="黑体" w:cs="Times New Roman"/>
          <w:bCs/>
          <w:sz w:val="24"/>
          <w:szCs w:val="32"/>
        </w:rPr>
      </w:pPr>
      <w:bookmarkStart w:id="62" w:name="_Toc26656988"/>
      <w:bookmarkStart w:id="63" w:name="_Toc9067727"/>
      <w:bookmarkStart w:id="64" w:name="_Toc14201257"/>
      <w:r>
        <w:rPr>
          <w:rFonts w:ascii="Times New Roman" w:hAnsi="Times New Roman" w:eastAsia="黑体" w:cs="Times New Roman"/>
          <w:bCs/>
          <w:sz w:val="24"/>
          <w:szCs w:val="32"/>
        </w:rPr>
        <w:t>8. 纪律和监督</w:t>
      </w:r>
      <w:bookmarkEnd w:id="62"/>
      <w:bookmarkEnd w:id="63"/>
      <w:bookmarkEnd w:id="64"/>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65" w:name="_Toc26656993"/>
      <w:bookmarkStart w:id="66"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65"/>
      <w:bookmarkEnd w:id="66"/>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Lines="50" w:afterLines="50"/>
        <w:outlineLvl w:val="1"/>
        <w:rPr>
          <w:rFonts w:ascii="Times New Roman" w:hAnsi="Times New Roman" w:eastAsia="黑体" w:cs="Times New Roman"/>
          <w:bCs/>
          <w:sz w:val="24"/>
          <w:szCs w:val="32"/>
        </w:rPr>
      </w:pPr>
      <w:bookmarkStart w:id="67" w:name="_Toc9067731"/>
      <w:bookmarkStart w:id="68" w:name="_Toc26656994"/>
      <w:bookmarkStart w:id="69"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67"/>
      <w:bookmarkEnd w:id="68"/>
      <w:bookmarkEnd w:id="69"/>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Cs w:val="28"/>
        </w:rPr>
      </w:pPr>
    </w:p>
    <w:p>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bookmarkStart w:id="70" w:name="_Toc1818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70"/>
    </w:p>
    <w:p>
      <w:pPr>
        <w:rPr>
          <w:rFonts w:ascii="Times New Roman" w:hAnsi="Times New Roman" w:eastAsia="宋体" w:cs="Times New Roman"/>
        </w:rPr>
      </w:pPr>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ascii="Times New Roman" w:hAnsi="Times New Roman" w:cs="Times New Roman"/>
                <w:kern w:val="0"/>
                <w:szCs w:val="21"/>
              </w:rPr>
              <w:sym w:font="Wingdings 2" w:char="0052"/>
            </w:r>
            <w:r>
              <w:rPr>
                <w:rFonts w:hint="eastAsia"/>
              </w:rPr>
              <w:t>评审价相等时，以递交响应文件在前的优先。</w:t>
            </w:r>
          </w:p>
          <w:p>
            <w:pPr>
              <w:pStyle w:val="5"/>
              <w:adjustRightInd w:val="0"/>
              <w:snapToGrid w:val="0"/>
            </w:pP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4"/>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评审价＝报价函文字报价</w:t>
            </w:r>
            <w:r>
              <w:rPr>
                <w:rFonts w:hint="eastAsia" w:ascii="Times New Roman" w:hAnsi="Times New Roman" w:cs="Times New Roman"/>
                <w:szCs w:val="21"/>
              </w:rPr>
              <w:t>（大小写不一致时以大写为准）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ascii="Times New Roman" w:hAnsi="Times New Roman" w:cs="Times New Roman"/>
        </w:rPr>
        <w:t>评审报告应当如实记载以下内容：</w:t>
      </w:r>
    </w:p>
    <w:p>
      <w:pPr>
        <w:spacing w:line="440" w:lineRule="exact"/>
        <w:ind w:firstLine="420"/>
        <w:rPr>
          <w:rFonts w:ascii="Times New Roman" w:hAnsi="Times New Roman" w:cs="Times New Roman"/>
        </w:rPr>
      </w:pPr>
      <w:bookmarkStart w:id="71" w:name="_Toc21524_WPSOffice_Level2"/>
      <w:bookmarkStart w:id="72" w:name="_Toc218_WPSOffice_Level2"/>
      <w:bookmarkStart w:id="73" w:name="_Toc12245_WPSOffice_Level2"/>
      <w:r>
        <w:rPr>
          <w:rFonts w:ascii="Times New Roman" w:hAnsi="Times New Roman" w:cs="Times New Roman"/>
        </w:rPr>
        <w:t>（一）采购项目基本情况</w:t>
      </w:r>
      <w:bookmarkEnd w:id="71"/>
      <w:bookmarkEnd w:id="72"/>
      <w:bookmarkEnd w:id="73"/>
    </w:p>
    <w:p>
      <w:pPr>
        <w:spacing w:line="440" w:lineRule="exact"/>
        <w:ind w:firstLine="420"/>
        <w:rPr>
          <w:rFonts w:ascii="Times New Roman" w:hAnsi="Times New Roman" w:cs="Times New Roman"/>
        </w:rPr>
      </w:pPr>
      <w:bookmarkStart w:id="74" w:name="_Toc5856_WPSOffice_Level2"/>
      <w:bookmarkStart w:id="75" w:name="_Toc8414_WPSOffice_Level2"/>
      <w:bookmarkStart w:id="76" w:name="_Toc31322_WPSOffice_Level2"/>
      <w:r>
        <w:rPr>
          <w:rFonts w:ascii="Times New Roman" w:hAnsi="Times New Roman" w:cs="Times New Roman"/>
        </w:rPr>
        <w:t>（二）采购过程回顾</w:t>
      </w:r>
      <w:bookmarkEnd w:id="74"/>
      <w:bookmarkEnd w:id="75"/>
      <w:bookmarkEnd w:id="76"/>
    </w:p>
    <w:p>
      <w:pPr>
        <w:spacing w:line="440" w:lineRule="exact"/>
        <w:ind w:firstLine="420"/>
        <w:rPr>
          <w:rFonts w:ascii="Times New Roman" w:hAnsi="Times New Roman" w:cs="Times New Roman"/>
        </w:rPr>
      </w:pPr>
      <w:bookmarkStart w:id="77" w:name="_Toc15620_WPSOffice_Level2"/>
      <w:bookmarkStart w:id="78" w:name="_Toc2932_WPSOffice_Level2"/>
      <w:bookmarkStart w:id="79" w:name="_Toc1346_WPSOffice_Level2"/>
      <w:r>
        <w:rPr>
          <w:rFonts w:ascii="Times New Roman" w:hAnsi="Times New Roman" w:cs="Times New Roman"/>
        </w:rPr>
        <w:t>（三）评审小组成员名单</w:t>
      </w:r>
      <w:bookmarkEnd w:id="77"/>
      <w:bookmarkEnd w:id="78"/>
      <w:bookmarkEnd w:id="79"/>
    </w:p>
    <w:p>
      <w:pPr>
        <w:spacing w:line="440" w:lineRule="exact"/>
        <w:ind w:firstLine="420"/>
        <w:rPr>
          <w:rFonts w:ascii="Times New Roman" w:hAnsi="Times New Roman" w:cs="Times New Roman"/>
        </w:rPr>
      </w:pPr>
      <w:bookmarkStart w:id="80" w:name="_Toc14464_WPSOffice_Level2"/>
      <w:bookmarkStart w:id="81" w:name="_Toc32316_WPSOffice_Level2"/>
      <w:bookmarkStart w:id="82" w:name="_Toc14207_WPSOffice_Level2"/>
      <w:r>
        <w:rPr>
          <w:rFonts w:ascii="Times New Roman" w:hAnsi="Times New Roman" w:cs="Times New Roman"/>
        </w:rPr>
        <w:t>（四）询比评审工作</w:t>
      </w:r>
      <w:bookmarkEnd w:id="80"/>
      <w:bookmarkEnd w:id="81"/>
      <w:bookmarkEnd w:id="82"/>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83" w:name="_Toc5114_WPSOffice_Level2"/>
      <w:bookmarkStart w:id="84" w:name="_Toc3913_WPSOffice_Level2"/>
      <w:bookmarkStart w:id="85" w:name="_Toc13397_WPSOffice_Level2"/>
      <w:r>
        <w:rPr>
          <w:rFonts w:ascii="Times New Roman" w:hAnsi="Times New Roman" w:cs="Times New Roman"/>
        </w:rPr>
        <w:t>（五）需要说明的其他事项</w:t>
      </w:r>
      <w:bookmarkEnd w:id="83"/>
      <w:bookmarkEnd w:id="84"/>
      <w:bookmarkEnd w:id="85"/>
    </w:p>
    <w:p>
      <w:pPr>
        <w:spacing w:line="440" w:lineRule="exact"/>
        <w:ind w:firstLine="420"/>
        <w:rPr>
          <w:rFonts w:ascii="Times New Roman" w:hAnsi="Times New Roman" w:cs="Times New Roman"/>
        </w:rPr>
      </w:pPr>
      <w:bookmarkStart w:id="86" w:name="_Toc8934_WPSOffice_Level2"/>
      <w:bookmarkStart w:id="87" w:name="_Toc3031_WPSOffice_Level2"/>
      <w:bookmarkStart w:id="88" w:name="_Toc23800_WPSOffice_Level2"/>
      <w:r>
        <w:rPr>
          <w:rFonts w:ascii="Times New Roman" w:hAnsi="Times New Roman" w:cs="Times New Roman"/>
        </w:rPr>
        <w:t>（六）评审附表</w:t>
      </w:r>
      <w:bookmarkEnd w:id="86"/>
      <w:bookmarkEnd w:id="87"/>
      <w:bookmarkEnd w:id="88"/>
    </w:p>
    <w:p>
      <w:pPr>
        <w:spacing w:line="440" w:lineRule="exact"/>
        <w:ind w:firstLine="420"/>
        <w:rPr>
          <w:rFonts w:ascii="Times New Roman" w:hAnsi="Times New Roman" w:cs="Times New Roman"/>
        </w:rPr>
      </w:pPr>
      <w:r>
        <w:rPr>
          <w:rFonts w:ascii="Times New Roman" w:hAnsi="Times New Roman" w:cs="Times New Roman"/>
        </w:rPr>
        <w:t>1、响应文件</w:t>
      </w:r>
      <w:r>
        <w:rPr>
          <w:rFonts w:hint="eastAsia" w:ascii="Times New Roman" w:hAnsi="Times New Roman" w:cs="Times New Roman"/>
        </w:rPr>
        <w:t>签到</w:t>
      </w:r>
      <w:r>
        <w:rPr>
          <w:rFonts w:ascii="Times New Roman" w:hAnsi="Times New Roman" w:cs="Times New Roman"/>
        </w:rPr>
        <w:t>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2"/>
        <w:numPr>
          <w:ilvl w:val="0"/>
          <w:numId w:val="3"/>
        </w:numPr>
        <w:spacing w:before="312" w:after="312"/>
        <w:rPr>
          <w:rFonts w:ascii="Times New Roman" w:hAnsi="Times New Roman" w:eastAsia="宋体" w:cs="Times New Roman"/>
        </w:rPr>
      </w:pPr>
      <w:bookmarkStart w:id="89" w:name="_Toc10990_WPSOffice_Level1"/>
      <w:r>
        <w:rPr>
          <w:rFonts w:ascii="Times New Roman" w:hAnsi="Times New Roman" w:eastAsia="宋体" w:cs="Times New Roma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元       增值税：   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hint="eastAsia" w:ascii="Times New Roman" w:hAnsi="Times New Roman" w:cs="Times New Roman" w:eastAsiaTheme="minorEastAsia"/>
          <w:szCs w:val="21"/>
          <w:lang w:val="en-US" w:eastAsia="zh-CN"/>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lang w:eastAsia="zh-CN"/>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年（</w:t>
      </w:r>
      <w:r>
        <w:rPr>
          <w:rFonts w:hint="eastAsia"/>
          <w:u w:val="single"/>
        </w:rPr>
        <w:t>自甲方验收合格货物之日起计算</w:t>
      </w:r>
      <w:r>
        <w:rPr>
          <w:rFonts w:hint="eastAsia" w:ascii="Times New Roman" w:hAnsi="Times New Roman" w:cs="Times New Roman"/>
          <w:szCs w:val="21"/>
          <w:u w:val="single"/>
        </w:rPr>
        <w:t>）</w:t>
      </w:r>
      <w:r>
        <w:rPr>
          <w:rFonts w:hint="eastAsia" w:ascii="Times New Roman" w:hAnsi="Times New Roman" w:cs="Times New Roman"/>
          <w:szCs w:val="21"/>
          <w:u w:val="single"/>
          <w:lang w:eastAsia="zh-CN"/>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车辆交接验收完成后30个工作日内，一次性付清。</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312" w:after="312"/>
        <w:ind w:firstLine="0"/>
        <w:rPr>
          <w:rFonts w:ascii="Times New Roman" w:hAnsi="Times New Roman" w:eastAsia="宋体" w:cs="Times New Roman"/>
        </w:rPr>
      </w:pPr>
      <w:r>
        <w:rPr>
          <w:rFonts w:ascii="Times New Roman" w:hAnsi="Times New Roman" w:eastAsia="宋体" w:cs="Times New Roman"/>
        </w:rPr>
        <w:t>采购需求及清单</w:t>
      </w:r>
      <w:bookmarkEnd w:id="91"/>
    </w:p>
    <w:p>
      <w:pPr>
        <w:snapToGrid w:val="0"/>
        <w:spacing w:line="560" w:lineRule="exact"/>
        <w:rPr>
          <w:rFonts w:ascii="宋体" w:hAnsi="宋体" w:cs="仿宋_GB2312"/>
          <w:sz w:val="30"/>
          <w:szCs w:val="30"/>
        </w:rPr>
      </w:pPr>
      <w:r>
        <w:rPr>
          <w:rFonts w:hint="eastAsia" w:ascii="宋体" w:hAnsi="宋体" w:cs="仿宋_GB2312"/>
          <w:sz w:val="30"/>
          <w:szCs w:val="30"/>
        </w:rPr>
        <w:t>（1）</w:t>
      </w:r>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18"/>
                <w:szCs w:val="18"/>
              </w:rPr>
            </w:pPr>
            <w:r>
              <w:rPr>
                <w:rFonts w:hint="eastAsia" w:eastAsia="宋体"/>
                <w:b/>
                <w:snapToGrid w:val="0"/>
                <w:kern w:val="0"/>
                <w:szCs w:val="21"/>
              </w:rPr>
              <w:t>帕萨特PA280TSI精英版</w:t>
            </w:r>
            <w:r>
              <w:rPr>
                <w:rFonts w:hint="eastAsia" w:ascii="宋体" w:hAnsi="宋体" w:eastAsia="宋体" w:cs="宋体"/>
                <w:b/>
                <w:bCs/>
                <w:color w:val="000000"/>
                <w:kern w:val="0"/>
                <w:szCs w:val="21"/>
              </w:rPr>
              <w:t>参数</w:t>
            </w: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476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3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280TSI涡轮增压发动机</w:t>
            </w:r>
            <w:r>
              <w:rPr>
                <w:rFonts w:hint="eastAsia" w:ascii="宋体" w:hAnsi="宋体" w:eastAsia="宋体" w:cs="宋体"/>
                <w:color w:val="000000"/>
                <w:kern w:val="0"/>
                <w:sz w:val="18"/>
                <w:szCs w:val="18"/>
              </w:rPr>
              <w:br w:type="textWrapping"/>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7速DSG变速箱</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4948/1836/1469    </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2871</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68.5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前置后驱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麦弗逊式独立悬架</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多摆臂式独立悬架</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215/55 R17</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215/55 R17</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涡轮增压发动机</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1395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额定功率（ps/rpm）</w:t>
            </w:r>
          </w:p>
          <w:p>
            <w:pPr>
              <w:widowControl/>
              <w:jc w:val="center"/>
              <w:textAlignment w:val="center"/>
              <w:rPr>
                <w:rFonts w:ascii="宋体" w:hAnsi="宋体" w:eastAsia="宋体" w:cs="宋体"/>
                <w:color w:val="000000"/>
                <w:sz w:val="18"/>
                <w:szCs w:val="18"/>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110/5000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250/（1750-3000）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bl>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r>
        <w:rPr>
          <w:rFonts w:hint="eastAsia" w:ascii="宋体" w:hAnsi="宋体" w:cs="仿宋_GB2312"/>
          <w:sz w:val="30"/>
          <w:szCs w:val="30"/>
        </w:rPr>
        <w:t>（2）</w:t>
      </w:r>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Cs w:val="21"/>
              </w:rPr>
            </w:pPr>
            <w:r>
              <w:rPr>
                <w:rFonts w:hint="eastAsia" w:eastAsia="宋体"/>
                <w:b/>
                <w:snapToGrid w:val="0"/>
                <w:kern w:val="0"/>
                <w:szCs w:val="21"/>
                <w:lang w:val="en-US" w:eastAsia="zh-CN"/>
              </w:rPr>
              <w:t xml:space="preserve">2024 </w:t>
            </w:r>
            <w:r>
              <w:rPr>
                <w:rFonts w:hint="eastAsia" w:eastAsia="宋体"/>
                <w:b/>
                <w:snapToGrid w:val="0"/>
                <w:kern w:val="0"/>
                <w:szCs w:val="21"/>
              </w:rPr>
              <w:t>途昂X380TSI尊崇豪华版</w:t>
            </w:r>
            <w:r>
              <w:rPr>
                <w:rFonts w:hint="eastAsia" w:ascii="宋体" w:hAnsi="宋体" w:eastAsia="宋体" w:cs="宋体"/>
                <w:b/>
                <w:bCs/>
                <w:color w:val="000000"/>
                <w:kern w:val="0"/>
                <w:szCs w:val="21"/>
              </w:rPr>
              <w:t>参数</w:t>
            </w: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476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3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380TSIT涡轮增压发动机</w:t>
            </w:r>
            <w:r>
              <w:rPr>
                <w:rFonts w:hint="eastAsia" w:ascii="宋体" w:hAnsi="宋体" w:eastAsia="宋体" w:cs="宋体"/>
                <w:color w:val="000000"/>
                <w:kern w:val="0"/>
                <w:sz w:val="18"/>
                <w:szCs w:val="18"/>
              </w:rPr>
              <w:br w:type="textWrapping"/>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DSG七速湿式双离合变速箱</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4917x1989x1729     </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2980</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智能四驱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麦弗逊式独立悬架</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多摆臂式悬架</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255/50 R20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255/50 R20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涡轮增压发动机</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1984</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额定功率（ps/rpm）</w:t>
            </w:r>
          </w:p>
          <w:p>
            <w:pPr>
              <w:widowControl/>
              <w:jc w:val="center"/>
              <w:textAlignment w:val="center"/>
              <w:rPr>
                <w:rFonts w:ascii="宋体" w:hAnsi="宋体" w:eastAsia="宋体" w:cs="宋体"/>
                <w:color w:val="000000"/>
                <w:sz w:val="18"/>
                <w:szCs w:val="18"/>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162/4900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350/1600~4300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bl>
    <w:p>
      <w:pPr>
        <w:tabs>
          <w:tab w:val="left" w:pos="600"/>
        </w:tabs>
        <w:spacing w:line="560" w:lineRule="atLeast"/>
        <w:ind w:firstLine="180" w:firstLineChars="100"/>
        <w:textAlignment w:val="baseline"/>
        <w:rPr>
          <w:bCs/>
          <w:sz w:val="18"/>
          <w:szCs w:val="18"/>
        </w:rPr>
      </w:pPr>
    </w:p>
    <w:p>
      <w:pPr>
        <w:pStyle w:val="5"/>
        <w:rPr>
          <w:rFonts w:ascii="宋体" w:hAnsi="宋体" w:cs="仿宋_GB2312"/>
          <w:sz w:val="30"/>
          <w:szCs w:val="30"/>
        </w:rPr>
      </w:pPr>
    </w:p>
    <w:p>
      <w:pPr>
        <w:pStyle w:val="5"/>
        <w:rPr>
          <w:rFonts w:ascii="宋体" w:hAnsi="宋体" w:cs="仿宋_GB2312"/>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r>
        <w:rPr>
          <w:rFonts w:hint="eastAsia" w:ascii="仿宋" w:hAnsi="仿宋" w:eastAsia="仿宋" w:cs="仿宋"/>
          <w:b/>
          <w:bCs/>
          <w:sz w:val="30"/>
          <w:szCs w:val="30"/>
        </w:rPr>
        <w:t>采购清单</w:t>
      </w:r>
    </w:p>
    <w:p>
      <w:pPr>
        <w:pStyle w:val="12"/>
        <w:spacing w:line="360" w:lineRule="auto"/>
        <w:jc w:val="both"/>
        <w:rPr>
          <w:rFonts w:ascii="仿宋" w:hAnsi="仿宋" w:eastAsia="仿宋" w:cs="仿宋"/>
          <w:b/>
          <w:bCs/>
          <w:sz w:val="30"/>
          <w:szCs w:val="30"/>
        </w:rPr>
      </w:pPr>
    </w:p>
    <w:tbl>
      <w:tblPr>
        <w:tblStyle w:val="14"/>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65"/>
        <w:gridCol w:w="2906"/>
        <w:gridCol w:w="824"/>
        <w:gridCol w:w="1001"/>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vAlign w:val="center"/>
          </w:tcPr>
          <w:p>
            <w:pPr>
              <w:jc w:val="center"/>
              <w:rPr>
                <w:sz w:val="30"/>
                <w:szCs w:val="30"/>
              </w:rPr>
            </w:pPr>
            <w:r>
              <w:rPr>
                <w:rFonts w:hint="eastAsia"/>
                <w:sz w:val="30"/>
                <w:szCs w:val="30"/>
              </w:rPr>
              <w:t>包</w:t>
            </w:r>
          </w:p>
        </w:tc>
        <w:tc>
          <w:tcPr>
            <w:tcW w:w="965" w:type="dxa"/>
            <w:vAlign w:val="center"/>
          </w:tcPr>
          <w:p>
            <w:pPr>
              <w:jc w:val="center"/>
              <w:rPr>
                <w:sz w:val="30"/>
                <w:szCs w:val="30"/>
              </w:rPr>
            </w:pPr>
            <w:r>
              <w:rPr>
                <w:rFonts w:hint="eastAsia"/>
                <w:sz w:val="30"/>
                <w:szCs w:val="30"/>
              </w:rPr>
              <w:t>名称</w:t>
            </w:r>
          </w:p>
        </w:tc>
        <w:tc>
          <w:tcPr>
            <w:tcW w:w="2906" w:type="dxa"/>
            <w:vAlign w:val="center"/>
          </w:tcPr>
          <w:p>
            <w:pPr>
              <w:jc w:val="center"/>
              <w:rPr>
                <w:sz w:val="30"/>
                <w:szCs w:val="30"/>
              </w:rPr>
            </w:pPr>
            <w:r>
              <w:rPr>
                <w:rFonts w:hint="eastAsia"/>
                <w:sz w:val="30"/>
                <w:szCs w:val="30"/>
              </w:rPr>
              <w:t>品牌型号</w:t>
            </w:r>
          </w:p>
        </w:tc>
        <w:tc>
          <w:tcPr>
            <w:tcW w:w="824" w:type="dxa"/>
            <w:vAlign w:val="center"/>
          </w:tcPr>
          <w:p>
            <w:pPr>
              <w:jc w:val="center"/>
              <w:rPr>
                <w:sz w:val="30"/>
                <w:szCs w:val="30"/>
              </w:rPr>
            </w:pPr>
            <w:r>
              <w:rPr>
                <w:rFonts w:hint="eastAsia"/>
                <w:sz w:val="30"/>
                <w:szCs w:val="30"/>
              </w:rPr>
              <w:t>单位</w:t>
            </w:r>
          </w:p>
        </w:tc>
        <w:tc>
          <w:tcPr>
            <w:tcW w:w="1001" w:type="dxa"/>
            <w:vAlign w:val="center"/>
          </w:tcPr>
          <w:p>
            <w:pPr>
              <w:jc w:val="center"/>
              <w:rPr>
                <w:sz w:val="30"/>
                <w:szCs w:val="30"/>
              </w:rPr>
            </w:pPr>
            <w:r>
              <w:rPr>
                <w:rFonts w:hint="eastAsia"/>
                <w:sz w:val="30"/>
                <w:szCs w:val="30"/>
              </w:rPr>
              <w:t>数量</w:t>
            </w:r>
          </w:p>
        </w:tc>
        <w:tc>
          <w:tcPr>
            <w:tcW w:w="1335" w:type="dxa"/>
            <w:vAlign w:val="center"/>
          </w:tcPr>
          <w:p>
            <w:pPr>
              <w:jc w:val="center"/>
              <w:rPr>
                <w:sz w:val="30"/>
                <w:szCs w:val="30"/>
              </w:rPr>
            </w:pPr>
            <w:r>
              <w:rPr>
                <w:rFonts w:hint="eastAsia"/>
                <w:sz w:val="30"/>
                <w:szCs w:val="30"/>
              </w:rPr>
              <w:t>颜色</w:t>
            </w:r>
          </w:p>
        </w:tc>
        <w:tc>
          <w:tcPr>
            <w:tcW w:w="825" w:type="dxa"/>
            <w:vAlign w:val="center"/>
          </w:tcPr>
          <w:p>
            <w:pPr>
              <w:jc w:val="center"/>
              <w:rPr>
                <w:sz w:val="30"/>
                <w:szCs w:val="30"/>
              </w:rPr>
            </w:pPr>
            <w:r>
              <w:rPr>
                <w:rFonts w:hint="eastAsia"/>
                <w:sz w:val="30"/>
                <w:szCs w:val="30"/>
              </w:rPr>
              <w:t>座位</w:t>
            </w:r>
          </w:p>
        </w:tc>
        <w:tc>
          <w:tcPr>
            <w:tcW w:w="1084" w:type="dxa"/>
            <w:vAlign w:val="center"/>
          </w:tcPr>
          <w:p>
            <w:pPr>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1</w:t>
            </w:r>
          </w:p>
        </w:tc>
        <w:tc>
          <w:tcPr>
            <w:tcW w:w="96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轿车</w:t>
            </w:r>
          </w:p>
        </w:tc>
        <w:tc>
          <w:tcPr>
            <w:tcW w:w="2906" w:type="dxa"/>
            <w:vAlign w:val="center"/>
          </w:tcPr>
          <w:p>
            <w:pPr>
              <w:widowControl/>
              <w:jc w:val="center"/>
              <w:textAlignment w:val="center"/>
              <w:rPr>
                <w:rFonts w:ascii="宋体" w:hAnsi="宋体" w:eastAsia="宋体" w:cs="宋体"/>
                <w:szCs w:val="21"/>
              </w:rPr>
            </w:pPr>
            <w:r>
              <w:rPr>
                <w:rFonts w:hint="eastAsia" w:eastAsia="宋体"/>
                <w:b/>
                <w:snapToGrid w:val="0"/>
                <w:kern w:val="0"/>
                <w:szCs w:val="21"/>
              </w:rPr>
              <w:t>帕萨特PA280TSI精英版</w:t>
            </w:r>
          </w:p>
        </w:tc>
        <w:tc>
          <w:tcPr>
            <w:tcW w:w="824"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100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335"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黑</w:t>
            </w:r>
          </w:p>
        </w:tc>
        <w:tc>
          <w:tcPr>
            <w:tcW w:w="82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084"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2</w:t>
            </w:r>
          </w:p>
        </w:tc>
        <w:tc>
          <w:tcPr>
            <w:tcW w:w="96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越野车</w:t>
            </w:r>
          </w:p>
        </w:tc>
        <w:tc>
          <w:tcPr>
            <w:tcW w:w="2906" w:type="dxa"/>
            <w:vAlign w:val="center"/>
          </w:tcPr>
          <w:p>
            <w:pPr>
              <w:widowControl/>
              <w:jc w:val="center"/>
              <w:textAlignment w:val="center"/>
              <w:rPr>
                <w:rFonts w:ascii="宋体" w:hAnsi="宋体" w:eastAsia="宋体" w:cs="宋体"/>
                <w:szCs w:val="21"/>
              </w:rPr>
            </w:pPr>
            <w:r>
              <w:rPr>
                <w:rFonts w:hint="eastAsia" w:eastAsia="宋体"/>
                <w:b/>
                <w:snapToGrid w:val="0"/>
                <w:kern w:val="0"/>
                <w:szCs w:val="21"/>
                <w:lang w:val="en-US" w:eastAsia="zh-CN"/>
              </w:rPr>
              <w:t>2024</w:t>
            </w:r>
            <w:r>
              <w:rPr>
                <w:rFonts w:hint="eastAsia" w:eastAsia="宋体"/>
                <w:b/>
                <w:snapToGrid w:val="0"/>
                <w:kern w:val="0"/>
                <w:szCs w:val="21"/>
              </w:rPr>
              <w:t>途昂X380TSI尊崇豪华版</w:t>
            </w:r>
          </w:p>
        </w:tc>
        <w:tc>
          <w:tcPr>
            <w:tcW w:w="824"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100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335"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黑</w:t>
            </w:r>
          </w:p>
        </w:tc>
        <w:tc>
          <w:tcPr>
            <w:tcW w:w="82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084" w:type="dxa"/>
            <w:vAlign w:val="center"/>
          </w:tcPr>
          <w:p>
            <w:pPr>
              <w:jc w:val="center"/>
              <w:rPr>
                <w:rFonts w:ascii="宋体" w:hAnsi="宋体" w:eastAsia="宋体" w:cs="宋体"/>
                <w:szCs w:val="21"/>
              </w:rPr>
            </w:pPr>
          </w:p>
        </w:tc>
      </w:tr>
    </w:tbl>
    <w:p>
      <w:pPr>
        <w:pStyle w:val="12"/>
        <w:spacing w:line="360" w:lineRule="auto"/>
        <w:jc w:val="both"/>
        <w:rPr>
          <w:rFonts w:ascii="仿宋" w:hAnsi="仿宋" w:eastAsia="仿宋" w:cs="仿宋"/>
          <w:b/>
          <w:bCs/>
          <w:sz w:val="30"/>
          <w:szCs w:val="30"/>
        </w:rPr>
      </w:pPr>
    </w:p>
    <w:p>
      <w:pPr>
        <w:pStyle w:val="5"/>
        <w:rPr>
          <w:rFonts w:ascii="宋体" w:hAnsi="宋体" w:eastAsia="宋体" w:cs="宋体"/>
          <w:b/>
          <w:bCs/>
          <w:szCs w:val="21"/>
        </w:rPr>
      </w:pPr>
      <w:bookmarkStart w:id="92" w:name="_Toc9834_WPSOffice_Level1"/>
    </w:p>
    <w:p>
      <w:pPr>
        <w:pStyle w:val="5"/>
        <w:rPr>
          <w:rFonts w:ascii="宋体" w:hAnsi="宋体" w:eastAsia="宋体" w:cs="宋体"/>
          <w:b/>
          <w:bCs/>
          <w:szCs w:val="21"/>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第六章 </w:t>
      </w:r>
      <w:r>
        <w:rPr>
          <w:rFonts w:ascii="Times New Roman" w:hAnsi="Times New Roman" w:eastAsia="宋体" w:cs="Times New Roman"/>
          <w:b/>
          <w:bCs/>
          <w:sz w:val="36"/>
          <w:szCs w:val="36"/>
        </w:rPr>
        <w:t>响应文件格式</w:t>
      </w:r>
      <w:bookmarkEnd w:id="92"/>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3" w:name="_Toc1914_WPSOffice_Level1"/>
      <w:bookmarkStart w:id="94" w:name="_Toc5145_WPSOffice_Level1"/>
      <w:bookmarkStart w:id="95" w:name="_Toc17394_WPSOffice_Level1"/>
      <w:bookmarkStart w:id="96" w:name="_Toc27552_WPSOffice_Level1"/>
    </w:p>
    <w:p>
      <w:pPr>
        <w:jc w:val="center"/>
        <w:rPr>
          <w:rFonts w:ascii="Times New Roman" w:hAnsi="Times New Roman" w:eastAsia="黑体" w:cs="Times New Roman"/>
          <w:sz w:val="50"/>
          <w:szCs w:val="50"/>
        </w:rPr>
      </w:pPr>
      <w:r>
        <w:rPr>
          <w:rFonts w:ascii="Times New Roman" w:hAnsi="Times New Roman" w:eastAsia="黑体" w:cs="Times New Roman"/>
          <w:sz w:val="50"/>
          <w:szCs w:val="50"/>
        </w:rPr>
        <w:t>响  应  文  件</w:t>
      </w:r>
      <w:bookmarkEnd w:id="93"/>
      <w:bookmarkEnd w:id="94"/>
      <w:bookmarkEnd w:id="95"/>
      <w:bookmarkEnd w:id="96"/>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7" w:name="_Toc25232_WPSOffice_Level2"/>
      <w:bookmarkStart w:id="98"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7"/>
      <w:bookmarkEnd w:id="98"/>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99" w:name="_Toc31577_WPSOffice_Level2"/>
      <w:bookmarkStart w:id="100"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99"/>
      <w:bookmarkEnd w:id="100"/>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0"/>
          <w:szCs w:val="20"/>
        </w:rPr>
        <w:t xml:space="preserve"> </w:t>
      </w:r>
      <w:r>
        <w:rPr>
          <w:rFonts w:ascii="Times New Roman" w:hAnsi="Times New Roman" w:eastAsia="黑体" w:cs="Times New Roman"/>
          <w:sz w:val="20"/>
          <w:szCs w:val="20"/>
        </w:rPr>
        <w:br w:type="page"/>
      </w:r>
      <w:bookmarkStart w:id="101" w:name="_Toc22351_WPSOffice_Level2"/>
      <w:bookmarkStart w:id="102" w:name="_Toc21974_WPSOffice_Level2"/>
      <w:r>
        <w:rPr>
          <w:rFonts w:ascii="Times New Roman" w:hAnsi="Times New Roman" w:eastAsia="黑体" w:cs="Times New Roman"/>
          <w:sz w:val="28"/>
          <w:szCs w:val="28"/>
        </w:rPr>
        <w:t>目     录</w:t>
      </w:r>
      <w:bookmarkEnd w:id="101"/>
      <w:bookmarkEnd w:id="102"/>
    </w:p>
    <w:p>
      <w:pPr>
        <w:spacing w:line="440" w:lineRule="exact"/>
        <w:rPr>
          <w:rFonts w:ascii="Times New Roman" w:hAnsi="Times New Roman" w:eastAsia="黑体" w:cs="Times New Roman"/>
          <w:b/>
          <w:bCs/>
          <w:sz w:val="20"/>
          <w:szCs w:val="20"/>
        </w:rPr>
      </w:pP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报价函</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（2）</w:t>
      </w:r>
      <w:r>
        <w:rPr>
          <w:rFonts w:ascii="Times New Roman" w:hAnsi="Times New Roman" w:cs="Times New Roman"/>
          <w:b/>
          <w:bCs/>
        </w:rPr>
        <w:t>法定代表人身份证明及授权委托书</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（3）</w:t>
      </w:r>
      <w:r>
        <w:rPr>
          <w:rFonts w:ascii="Times New Roman" w:hAnsi="Times New Roman" w:cs="Times New Roman"/>
          <w:b/>
          <w:bCs/>
        </w:rPr>
        <w:t>已标价的</w:t>
      </w:r>
      <w:r>
        <w:rPr>
          <w:rFonts w:hint="eastAsia" w:ascii="Times New Roman" w:hAnsi="Times New Roman" w:cs="Times New Roman"/>
          <w:b/>
          <w:bCs/>
        </w:rPr>
        <w:t>报价清单；</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（4）</w:t>
      </w:r>
      <w:r>
        <w:rPr>
          <w:rFonts w:ascii="Times New Roman" w:hAnsi="Times New Roman" w:cs="Times New Roman"/>
          <w:b/>
          <w:bCs/>
        </w:rPr>
        <w:t>供应商基本情况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（5）</w:t>
      </w:r>
      <w:r>
        <w:rPr>
          <w:rFonts w:ascii="Times New Roman" w:hAnsi="Times New Roman" w:cs="Times New Roman"/>
          <w:b/>
          <w:bCs/>
        </w:rPr>
        <w:t>近年类似业绩情况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（6）</w:t>
      </w:r>
      <w:r>
        <w:rPr>
          <w:rFonts w:ascii="Times New Roman" w:hAnsi="Times New Roman" w:cs="Times New Roman"/>
          <w:b/>
          <w:bCs/>
        </w:rPr>
        <w:t>信誉情况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（7）</w:t>
      </w:r>
      <w:r>
        <w:rPr>
          <w:rFonts w:hint="eastAsia" w:ascii="Times New Roman" w:hAnsi="Times New Roman" w:cs="Times New Roman"/>
          <w:b/>
          <w:bCs/>
          <w:szCs w:val="21"/>
        </w:rPr>
        <w:t>技术性能（质量）指标描述</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（8）供货方案；</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（9）</w:t>
      </w:r>
      <w:r>
        <w:rPr>
          <w:rFonts w:ascii="Times New Roman" w:hAnsi="Times New Roman" w:cs="Times New Roman"/>
          <w:b/>
          <w:bCs/>
        </w:rPr>
        <w:t>其他材料</w:t>
      </w:r>
      <w:r>
        <w:rPr>
          <w:rFonts w:hint="eastAsia" w:ascii="Times New Roman" w:hAnsi="Times New Roman" w:cs="Times New Roman"/>
          <w:b/>
          <w:bCs/>
        </w:rPr>
        <w:t>。</w:t>
      </w:r>
    </w:p>
    <w:p>
      <w:pPr>
        <w:spacing w:line="560" w:lineRule="atLeast"/>
        <w:ind w:left="1619" w:leftChars="771"/>
        <w:rPr>
          <w:rFonts w:ascii="Times New Roman" w:hAnsi="Times New Roman" w:eastAsia="黑体" w:cs="Times New Roman"/>
          <w:sz w:val="24"/>
        </w:rPr>
      </w:pPr>
    </w:p>
    <w:p>
      <w:pPr>
        <w:numPr>
          <w:ilvl w:val="0"/>
          <w:numId w:val="4"/>
        </w:num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3" w:name="_Toc18312_WPSOffice_Level1"/>
      <w:bookmarkStart w:id="104" w:name="_Toc2765_WPSOffice_Level1"/>
      <w:bookmarkStart w:id="105" w:name="_Toc30031_WPSOffice_Level1"/>
      <w:bookmarkStart w:id="106" w:name="_Toc1687_WPSOffice_Level1"/>
      <w:bookmarkStart w:id="107" w:name="_Toc29399_WPSOffice_Level1"/>
      <w:r>
        <w:rPr>
          <w:rFonts w:ascii="Times New Roman" w:hAnsi="Times New Roman" w:eastAsia="黑体" w:cs="Times New Roman"/>
          <w:sz w:val="28"/>
          <w:szCs w:val="28"/>
        </w:rPr>
        <w:t>报价函</w:t>
      </w:r>
      <w:bookmarkEnd w:id="103"/>
      <w:bookmarkEnd w:id="104"/>
      <w:bookmarkEnd w:id="105"/>
      <w:bookmarkEnd w:id="106"/>
      <w:bookmarkEnd w:id="107"/>
    </w:p>
    <w:p>
      <w:pPr>
        <w:pStyle w:val="5"/>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 xml:space="preserve">             第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5"/>
        <w:ind w:firstLine="480" w:firstLineChars="200"/>
      </w:pPr>
      <w:r>
        <w:rPr>
          <w:rFonts w:hint="eastAsia" w:ascii="Times New Roman" w:hAnsi="Times New Roman" w:cs="Times New Roman"/>
          <w:sz w:val="24"/>
        </w:rPr>
        <w:t>(4)我方承诺车辆符合国家入户、上牌标准，如因我方造成的原因</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08" w:name="_Toc8695_WPSOffice_Level1"/>
      <w:bookmarkStart w:id="109" w:name="_Toc18668_WPSOffice_Level1"/>
      <w:bookmarkStart w:id="110" w:name="_Toc12530_WPSOffice_Level1"/>
      <w:bookmarkStart w:id="111" w:name="_Toc14563_WPSOffice_Level1"/>
      <w:bookmarkStart w:id="112" w:name="_Toc32350_WPSOffice_Level1"/>
      <w:r>
        <w:rPr>
          <w:rFonts w:ascii="Times New Roman" w:hAnsi="Times New Roman" w:eastAsia="黑体" w:cs="Times New Roman"/>
          <w:sz w:val="28"/>
          <w:szCs w:val="28"/>
        </w:rPr>
        <w:t>二、法定代表人身份证明及授权委托书</w:t>
      </w:r>
      <w:bookmarkEnd w:id="108"/>
      <w:bookmarkEnd w:id="109"/>
      <w:bookmarkEnd w:id="110"/>
      <w:bookmarkEnd w:id="111"/>
      <w:bookmarkEnd w:id="11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13" w:name="_Toc5153_WPSOffice_Level2"/>
      <w:bookmarkStart w:id="114" w:name="_Toc20803_WPSOffice_Level2"/>
      <w:r>
        <w:rPr>
          <w:rFonts w:ascii="Times New Roman" w:hAnsi="Times New Roman" w:eastAsia="黑体" w:cs="Times New Roman"/>
          <w:bCs/>
          <w:sz w:val="28"/>
          <w:szCs w:val="28"/>
        </w:rPr>
        <w:t>2-1 法定代表人身份证明</w:t>
      </w:r>
      <w:bookmarkEnd w:id="113"/>
      <w:bookmarkEnd w:id="11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pStyle w:val="5"/>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15" w:name="_Toc19768_WPSOffice_Level2"/>
      <w:bookmarkStart w:id="11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15"/>
      <w:bookmarkEnd w:id="11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17" w:name="_Toc15186_WPSOffice_Level1"/>
      <w:bookmarkStart w:id="118" w:name="_Toc24530_WPSOffice_Level1"/>
      <w:bookmarkStart w:id="119" w:name="_Toc32085_WPSOffice_Level1"/>
      <w:bookmarkStart w:id="120" w:name="_Toc24567_WPSOffice_Level1"/>
      <w:bookmarkStart w:id="12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17"/>
      <w:bookmarkEnd w:id="118"/>
      <w:bookmarkEnd w:id="119"/>
      <w:bookmarkEnd w:id="120"/>
      <w:r>
        <w:rPr>
          <w:rFonts w:hint="eastAsia" w:ascii="Times New Roman" w:hAnsi="Times New Roman" w:eastAsia="黑体" w:cs="Times New Roman"/>
          <w:sz w:val="28"/>
          <w:szCs w:val="28"/>
        </w:rPr>
        <w:t>报价清单</w:t>
      </w:r>
      <w:bookmarkEnd w:id="121"/>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845" w:type="dxa"/>
            <w:vAlign w:val="center"/>
          </w:tcPr>
          <w:p>
            <w:pPr>
              <w:jc w:val="center"/>
              <w:rPr>
                <w:sz w:val="30"/>
                <w:szCs w:val="30"/>
              </w:rPr>
            </w:pPr>
            <w:r>
              <w:rPr>
                <w:rFonts w:hint="eastAsia"/>
                <w:sz w:val="30"/>
                <w:szCs w:val="30"/>
              </w:rPr>
              <w:t>品牌型号</w:t>
            </w:r>
          </w:p>
        </w:tc>
        <w:tc>
          <w:tcPr>
            <w:tcW w:w="931"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845" w:type="dxa"/>
            <w:vAlign w:val="center"/>
          </w:tcPr>
          <w:p>
            <w:pPr>
              <w:spacing w:before="100" w:beforeAutospacing="1" w:after="100" w:afterAutospacing="1" w:line="360" w:lineRule="auto"/>
              <w:jc w:val="center"/>
              <w:rPr>
                <w:sz w:val="28"/>
                <w:szCs w:val="28"/>
              </w:rPr>
            </w:pPr>
          </w:p>
        </w:tc>
        <w:tc>
          <w:tcPr>
            <w:tcW w:w="931"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rFonts w:ascii="仿宋" w:hAnsi="仿宋" w:eastAsia="仿宋" w:cs="宋体"/>
                <w:szCs w:val="21"/>
              </w:rPr>
            </w:pPr>
            <w:r>
              <w:rPr>
                <w:rFonts w:hint="eastAsia" w:ascii="仿宋" w:hAnsi="仿宋" w:eastAsia="仿宋" w:cs="宋体"/>
                <w:szCs w:val="21"/>
              </w:rPr>
              <w:t>2</w:t>
            </w:r>
          </w:p>
        </w:tc>
        <w:tc>
          <w:tcPr>
            <w:tcW w:w="1170" w:type="dxa"/>
            <w:vAlign w:val="center"/>
          </w:tcPr>
          <w:p>
            <w:pPr>
              <w:spacing w:before="100" w:beforeAutospacing="1" w:after="100" w:afterAutospacing="1" w:line="360" w:lineRule="auto"/>
              <w:jc w:val="center"/>
              <w:rPr>
                <w:sz w:val="30"/>
                <w:szCs w:val="30"/>
              </w:rPr>
            </w:pPr>
          </w:p>
        </w:tc>
        <w:tc>
          <w:tcPr>
            <w:tcW w:w="1845" w:type="dxa"/>
            <w:vAlign w:val="center"/>
          </w:tcPr>
          <w:p>
            <w:pPr>
              <w:spacing w:before="100" w:beforeAutospacing="1" w:after="100" w:afterAutospacing="1" w:line="360" w:lineRule="auto"/>
              <w:jc w:val="center"/>
              <w:rPr>
                <w:sz w:val="28"/>
                <w:szCs w:val="28"/>
              </w:rPr>
            </w:pPr>
          </w:p>
        </w:tc>
        <w:tc>
          <w:tcPr>
            <w:tcW w:w="931"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rPr>
          <w:rFonts w:ascii="仿宋" w:hAnsi="仿宋" w:eastAsia="仿宋"/>
          <w:sz w:val="30"/>
          <w:szCs w:val="30"/>
        </w:rPr>
      </w:pPr>
      <w:r>
        <w:rPr>
          <w:rFonts w:hint="eastAsia" w:ascii="仿宋" w:hAnsi="仿宋" w:eastAsia="仿宋"/>
          <w:sz w:val="30"/>
          <w:szCs w:val="30"/>
        </w:rPr>
        <w:t>报价人（单位签章）：</w:t>
      </w:r>
    </w:p>
    <w:p>
      <w:pPr>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ascii="Times New Roman" w:hAnsi="Times New Roman" w:eastAsia="黑体" w:cs="Times New Roman"/>
          <w:sz w:val="24"/>
        </w:rPr>
      </w:pPr>
      <w:r>
        <w:rPr>
          <w:rFonts w:hint="eastAsia" w:ascii="仿宋" w:hAnsi="仿宋" w:eastAsia="仿宋"/>
          <w:sz w:val="30"/>
          <w:szCs w:val="30"/>
        </w:rPr>
        <w:t xml:space="preserve">日期：   年    月     日  </w:t>
      </w: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22" w:name="_Toc31445_WPSOffice_Level1"/>
      <w:bookmarkStart w:id="123" w:name="_Toc22815_WPSOffice_Level1"/>
      <w:bookmarkStart w:id="124" w:name="_Toc7738_WPSOffice_Level1"/>
      <w:bookmarkStart w:id="125" w:name="_Toc10436_WPSOffice_Level1"/>
      <w:bookmarkStart w:id="126" w:name="_Toc235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27" w:name="_Toc27600_WPSOffice_Level2"/>
      <w:bookmarkStart w:id="128" w:name="_Toc2807_WPSOffice_Level2"/>
      <w:r>
        <w:rPr>
          <w:rFonts w:ascii="Times New Roman" w:hAnsi="Times New Roman" w:eastAsia="黑体" w:cs="Times New Roman"/>
          <w:sz w:val="28"/>
          <w:szCs w:val="28"/>
        </w:rPr>
        <w:t>供应商基本情况</w:t>
      </w:r>
      <w:bookmarkEnd w:id="122"/>
      <w:bookmarkEnd w:id="123"/>
      <w:bookmarkEnd w:id="124"/>
      <w:bookmarkEnd w:id="125"/>
      <w:bookmarkEnd w:id="126"/>
      <w:bookmarkEnd w:id="127"/>
      <w:bookmarkEnd w:id="128"/>
    </w:p>
    <w:p>
      <w:pPr>
        <w:topLinePunct/>
        <w:spacing w:line="440" w:lineRule="exact"/>
        <w:jc w:val="center"/>
        <w:rPr>
          <w:rFonts w:ascii="Times New Roman" w:hAnsi="Times New Roman" w:cs="Times New Roman"/>
          <w:sz w:val="23"/>
          <w:szCs w:val="23"/>
        </w:rPr>
      </w:pPr>
    </w:p>
    <w:tbl>
      <w:tblPr>
        <w:tblStyle w:val="14"/>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29" w:name="_Toc19004_WPSOffice_Level1"/>
      <w:bookmarkStart w:id="130" w:name="_Toc1452_WPSOffice_Level1"/>
      <w:bookmarkStart w:id="131" w:name="_Toc5072_WPSOffice_Level1"/>
      <w:bookmarkStart w:id="132" w:name="_Toc3772_WPSOffice_Level1"/>
      <w:bookmarkStart w:id="133" w:name="_Toc18547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29"/>
      <w:bookmarkEnd w:id="130"/>
      <w:bookmarkEnd w:id="131"/>
      <w:bookmarkEnd w:id="132"/>
      <w:bookmarkEnd w:id="133"/>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34" w:name="_Toc3893_WPSOffice_Level1"/>
      <w:bookmarkStart w:id="135" w:name="_Toc9267_WPSOffice_Level1"/>
      <w:bookmarkStart w:id="136" w:name="_Toc12019_WPSOffice_Level1"/>
      <w:bookmarkStart w:id="137" w:name="_Toc5403_WPSOffice_Level1"/>
      <w:bookmarkStart w:id="138" w:name="_Toc30712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34"/>
      <w:bookmarkEnd w:id="135"/>
      <w:bookmarkEnd w:id="136"/>
      <w:bookmarkEnd w:id="137"/>
      <w:bookmarkEnd w:id="13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5"/>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5"/>
      </w:pPr>
    </w:p>
    <w:p>
      <w:pPr>
        <w:pStyle w:val="5"/>
        <w:spacing w:line="440" w:lineRule="exact"/>
        <w:rPr>
          <w:rFonts w:ascii="Times New Roman" w:hAnsi="Times New Roman" w:cs="Times New Roman"/>
          <w:sz w:val="24"/>
        </w:rPr>
      </w:pPr>
    </w:p>
    <w:p>
      <w:pPr>
        <w:spacing w:line="400" w:lineRule="atLeast"/>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rPr>
          <w:b/>
          <w:bCs/>
          <w:sz w:val="28"/>
          <w:szCs w:val="28"/>
        </w:rPr>
      </w:pPr>
      <w:r>
        <w:rPr>
          <w:rFonts w:hint="eastAsia"/>
          <w:b/>
          <w:bCs/>
          <w:sz w:val="28"/>
          <w:szCs w:val="28"/>
        </w:rPr>
        <w:t xml:space="preserve">            七、技术性能（质量）指标描述</w:t>
      </w:r>
    </w:p>
    <w:p>
      <w:pPr>
        <w:pStyle w:val="5"/>
        <w:ind w:firstLine="1687" w:firstLineChars="600"/>
        <w:rPr>
          <w:b/>
          <w:bCs/>
          <w:sz w:val="28"/>
          <w:szCs w:val="28"/>
        </w:rPr>
      </w:pPr>
      <w:r>
        <w:rPr>
          <w:rFonts w:hint="eastAsia"/>
          <w:b/>
          <w:bCs/>
          <w:sz w:val="28"/>
          <w:szCs w:val="28"/>
        </w:rPr>
        <w:t>八、供货方案</w:t>
      </w:r>
    </w:p>
    <w:p>
      <w:pPr>
        <w:pStyle w:val="5"/>
        <w:ind w:firstLine="1687" w:firstLineChars="600"/>
        <w:rPr>
          <w:b/>
          <w:bCs/>
          <w:sz w:val="28"/>
          <w:szCs w:val="28"/>
        </w:rPr>
      </w:pPr>
      <w:r>
        <w:rPr>
          <w:rFonts w:hint="eastAsia"/>
          <w:b/>
          <w:bCs/>
          <w:sz w:val="28"/>
          <w:szCs w:val="28"/>
        </w:rPr>
        <w:t>九、其他材料</w:t>
      </w:r>
    </w:p>
    <w:p>
      <w:pPr>
        <w:pStyle w:val="5"/>
        <w:jc w:val="center"/>
        <w:rPr>
          <w:b/>
          <w:bCs/>
          <w:sz w:val="28"/>
          <w:szCs w:val="28"/>
        </w:rPr>
      </w:pPr>
    </w:p>
    <w:p>
      <w:pPr>
        <w:pStyle w:val="5"/>
      </w:pPr>
    </w:p>
    <w:p>
      <w:pPr>
        <w:pStyle w:val="5"/>
      </w:pPr>
    </w:p>
    <w:p>
      <w:pPr>
        <w:pStyle w:val="5"/>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2">
    <w:altName w:val="Webdings"/>
    <w:panose1 w:val="00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10"/>
                  <w:ind w:firstLine="360"/>
                </w:pPr>
                <w:r>
                  <w:fldChar w:fldCharType="begin"/>
                </w:r>
                <w:r>
                  <w:instrText xml:space="preserve"> PAGE  \* MERGEFORMAT </w:instrText>
                </w:r>
                <w:r>
                  <w:fldChar w:fldCharType="separate"/>
                </w:r>
                <w:r>
                  <w:t>22</w:t>
                </w:r>
                <w:r>
                  <w:fldChar w:fldCharType="end"/>
                </w:r>
              </w:p>
            </w:txbxContent>
          </v:textbox>
        </v:shape>
      </w:pic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1N2I3OGFmYzhhZmVlYzE5NzU4OTRlOWE3OTk4OWYifQ=="/>
  </w:docVars>
  <w:rsids>
    <w:rsidRoot w:val="00172A27"/>
    <w:rsid w:val="00123065"/>
    <w:rsid w:val="00172A27"/>
    <w:rsid w:val="0018302A"/>
    <w:rsid w:val="001A7EBB"/>
    <w:rsid w:val="001B1051"/>
    <w:rsid w:val="001D799F"/>
    <w:rsid w:val="00210A1D"/>
    <w:rsid w:val="00272678"/>
    <w:rsid w:val="0045251B"/>
    <w:rsid w:val="0046366F"/>
    <w:rsid w:val="004D266E"/>
    <w:rsid w:val="005323C5"/>
    <w:rsid w:val="00546A1A"/>
    <w:rsid w:val="00673F29"/>
    <w:rsid w:val="00705526"/>
    <w:rsid w:val="00745274"/>
    <w:rsid w:val="008063B7"/>
    <w:rsid w:val="008C1BCE"/>
    <w:rsid w:val="009130D0"/>
    <w:rsid w:val="009300D7"/>
    <w:rsid w:val="00972F5F"/>
    <w:rsid w:val="00974133"/>
    <w:rsid w:val="009D5480"/>
    <w:rsid w:val="00AD1B4E"/>
    <w:rsid w:val="00BA1CAE"/>
    <w:rsid w:val="00BE7A44"/>
    <w:rsid w:val="00BF4530"/>
    <w:rsid w:val="00C40143"/>
    <w:rsid w:val="00CF3024"/>
    <w:rsid w:val="00D21E57"/>
    <w:rsid w:val="00D436A9"/>
    <w:rsid w:val="00D46461"/>
    <w:rsid w:val="00D60F2E"/>
    <w:rsid w:val="00E97061"/>
    <w:rsid w:val="00EB2C48"/>
    <w:rsid w:val="00EF73CD"/>
    <w:rsid w:val="00F56741"/>
    <w:rsid w:val="00F63A98"/>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CB49BC"/>
    <w:rsid w:val="07084811"/>
    <w:rsid w:val="072639A0"/>
    <w:rsid w:val="0749777B"/>
    <w:rsid w:val="076562D9"/>
    <w:rsid w:val="076F25A8"/>
    <w:rsid w:val="07A10C59"/>
    <w:rsid w:val="07E23ADF"/>
    <w:rsid w:val="080D2DB2"/>
    <w:rsid w:val="082D0D5E"/>
    <w:rsid w:val="08315767"/>
    <w:rsid w:val="0858227F"/>
    <w:rsid w:val="086348CE"/>
    <w:rsid w:val="086B2D03"/>
    <w:rsid w:val="087D63B5"/>
    <w:rsid w:val="087E3A40"/>
    <w:rsid w:val="08852948"/>
    <w:rsid w:val="089B201D"/>
    <w:rsid w:val="08AC6280"/>
    <w:rsid w:val="08D840D9"/>
    <w:rsid w:val="0903431A"/>
    <w:rsid w:val="090B1608"/>
    <w:rsid w:val="091201C8"/>
    <w:rsid w:val="092D5CEC"/>
    <w:rsid w:val="09356F1F"/>
    <w:rsid w:val="094B5D5D"/>
    <w:rsid w:val="09501EDA"/>
    <w:rsid w:val="0973495D"/>
    <w:rsid w:val="09877567"/>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0835F7"/>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55695A"/>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03361"/>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AA38A9"/>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312C1"/>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ED5A14"/>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DC4954"/>
    <w:rsid w:val="51F6040A"/>
    <w:rsid w:val="524508D0"/>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3120DF"/>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AF4F52"/>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57BC8"/>
    <w:rsid w:val="602F511B"/>
    <w:rsid w:val="604A5077"/>
    <w:rsid w:val="605F2621"/>
    <w:rsid w:val="60A14466"/>
    <w:rsid w:val="60AE1BB1"/>
    <w:rsid w:val="60AF1518"/>
    <w:rsid w:val="60DD22F5"/>
    <w:rsid w:val="60E42733"/>
    <w:rsid w:val="6107582C"/>
    <w:rsid w:val="613B0074"/>
    <w:rsid w:val="6153428A"/>
    <w:rsid w:val="617873BF"/>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B502AA"/>
    <w:rsid w:val="63E266D5"/>
    <w:rsid w:val="63E91B17"/>
    <w:rsid w:val="63F83E99"/>
    <w:rsid w:val="63FF46D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9453A6"/>
    <w:rsid w:val="669974CF"/>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5F3098"/>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ED06B4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3"/>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qFormat/>
    <w:uiPriority w:val="99"/>
    <w:rPr>
      <w:rFonts w:ascii="宋体" w:hAnsi="Courier New"/>
      <w:szCs w:val="20"/>
    </w:rPr>
  </w:style>
  <w:style w:type="paragraph" w:styleId="9">
    <w:name w:val="Balloon Text"/>
    <w:basedOn w:val="1"/>
    <w:link w:val="39"/>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spacing w:beforeAutospacing="1" w:afterAutospacing="1"/>
      <w:jc w:val="left"/>
    </w:pPr>
    <w:rPr>
      <w:rFonts w:cs="Times New Roman"/>
      <w:kern w:val="0"/>
      <w:sz w:val="24"/>
    </w:rPr>
  </w:style>
  <w:style w:type="paragraph" w:styleId="13">
    <w:name w:val="Body Text First Indent 2"/>
    <w:basedOn w:val="6"/>
    <w:unhideWhenUsed/>
    <w:qFormat/>
    <w:uiPriority w:val="99"/>
    <w:pPr>
      <w:ind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autoRedefine/>
    <w:qFormat/>
    <w:uiPriority w:val="0"/>
    <w:rPr>
      <w:rFonts w:hint="eastAsia" w:ascii="微软雅黑" w:hAnsi="微软雅黑" w:eastAsia="微软雅黑" w:cs="微软雅黑"/>
      <w:color w:val="323232"/>
      <w:sz w:val="21"/>
      <w:szCs w:val="21"/>
      <w:u w:val="none"/>
    </w:rPr>
  </w:style>
  <w:style w:type="character" w:styleId="19">
    <w:name w:val="Hyperlink"/>
    <w:basedOn w:val="16"/>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qFormat/>
    <w:uiPriority w:val="0"/>
    <w:pPr>
      <w:jc w:val="center"/>
    </w:pPr>
    <w:rPr>
      <w:rFonts w:ascii="黑体" w:hAnsi="黑体" w:eastAsia="黑体"/>
      <w:sz w:val="28"/>
    </w:rPr>
  </w:style>
  <w:style w:type="character" w:customStyle="1" w:styleId="23">
    <w:name w:val="标题 2 Char"/>
    <w:link w:val="3"/>
    <w:qFormat/>
    <w:uiPriority w:val="0"/>
    <w:rPr>
      <w:rFonts w:ascii="Arial" w:hAnsi="Arial"/>
      <w:b/>
      <w:bCs/>
      <w:sz w:val="28"/>
      <w:szCs w:val="32"/>
    </w:rPr>
  </w:style>
  <w:style w:type="character" w:customStyle="1" w:styleId="24">
    <w:name w:val="font01"/>
    <w:basedOn w:val="16"/>
    <w:qFormat/>
    <w:uiPriority w:val="0"/>
    <w:rPr>
      <w:rFonts w:hint="eastAsia" w:ascii="宋体" w:hAnsi="宋体" w:eastAsia="宋体" w:cs="宋体"/>
      <w:color w:val="000000"/>
      <w:sz w:val="20"/>
      <w:szCs w:val="20"/>
      <w:u w:val="none"/>
    </w:rPr>
  </w:style>
  <w:style w:type="character" w:customStyle="1" w:styleId="25">
    <w:name w:val="font31"/>
    <w:basedOn w:val="16"/>
    <w:qFormat/>
    <w:uiPriority w:val="0"/>
    <w:rPr>
      <w:rFonts w:hint="eastAsia" w:ascii="宋体" w:hAnsi="宋体" w:eastAsia="宋体" w:cs="宋体"/>
      <w:color w:val="000000"/>
      <w:sz w:val="24"/>
      <w:szCs w:val="24"/>
      <w:u w:val="none"/>
    </w:rPr>
  </w:style>
  <w:style w:type="character" w:customStyle="1" w:styleId="26">
    <w:name w:val="font61"/>
    <w:basedOn w:val="16"/>
    <w:qFormat/>
    <w:uiPriority w:val="0"/>
    <w:rPr>
      <w:rFonts w:hint="default" w:ascii="Times New Roman" w:hAnsi="Times New Roman" w:cs="Times New Roman"/>
      <w:color w:val="000000"/>
      <w:sz w:val="24"/>
      <w:szCs w:val="24"/>
      <w:u w:val="none"/>
    </w:rPr>
  </w:style>
  <w:style w:type="character" w:customStyle="1" w:styleId="27">
    <w:name w:val="font11"/>
    <w:basedOn w:val="16"/>
    <w:autoRedefine/>
    <w:qFormat/>
    <w:uiPriority w:val="0"/>
    <w:rPr>
      <w:rFonts w:hint="eastAsia" w:ascii="宋体" w:hAnsi="宋体" w:eastAsia="宋体" w:cs="宋体"/>
      <w:color w:val="000000"/>
      <w:sz w:val="24"/>
      <w:szCs w:val="24"/>
      <w:u w:val="none"/>
    </w:rPr>
  </w:style>
  <w:style w:type="character" w:customStyle="1" w:styleId="28">
    <w:name w:val="font51"/>
    <w:basedOn w:val="16"/>
    <w:qFormat/>
    <w:uiPriority w:val="0"/>
    <w:rPr>
      <w:rFonts w:ascii="Calibri" w:hAnsi="Calibri" w:cs="Calibri"/>
      <w:color w:val="000000"/>
      <w:sz w:val="24"/>
      <w:szCs w:val="24"/>
      <w:u w:val="none"/>
    </w:rPr>
  </w:style>
  <w:style w:type="character" w:customStyle="1" w:styleId="29">
    <w:name w:val="font21"/>
    <w:basedOn w:val="16"/>
    <w:autoRedefine/>
    <w:qFormat/>
    <w:uiPriority w:val="0"/>
    <w:rPr>
      <w:rFonts w:hint="eastAsia" w:ascii="宋体" w:hAnsi="宋体" w:eastAsia="宋体" w:cs="宋体"/>
      <w:b/>
      <w:bCs/>
      <w:color w:val="000000"/>
      <w:sz w:val="20"/>
      <w:szCs w:val="20"/>
      <w:u w:val="none"/>
    </w:rPr>
  </w:style>
  <w:style w:type="character" w:customStyle="1" w:styleId="30">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1">
    <w:name w:val="font41"/>
    <w:basedOn w:val="16"/>
    <w:autoRedefine/>
    <w:qFormat/>
    <w:uiPriority w:val="0"/>
    <w:rPr>
      <w:rFonts w:hint="eastAsia" w:ascii="宋体" w:hAnsi="宋体" w:eastAsia="宋体" w:cs="宋体"/>
      <w:color w:val="000000"/>
      <w:sz w:val="20"/>
      <w:szCs w:val="20"/>
      <w:u w:val="none"/>
    </w:rPr>
  </w:style>
  <w:style w:type="character" w:customStyle="1" w:styleId="32">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6"/>
    <w:autoRedefine/>
    <w:qFormat/>
    <w:uiPriority w:val="0"/>
    <w:rPr>
      <w:color w:val="D61521"/>
    </w:rPr>
  </w:style>
  <w:style w:type="character" w:customStyle="1" w:styleId="34">
    <w:name w:val="NormalCharacter"/>
    <w:autoRedefine/>
    <w:semiHidden/>
    <w:qFormat/>
    <w:uiPriority w:val="0"/>
  </w:style>
  <w:style w:type="paragraph" w:customStyle="1" w:styleId="35">
    <w:name w:val="Char Char Char Char Char Char Char1 Char"/>
    <w:basedOn w:val="1"/>
    <w:autoRedefine/>
    <w:qFormat/>
    <w:uiPriority w:val="0"/>
    <w:pPr>
      <w:jc w:val="left"/>
    </w:pPr>
    <w:rPr>
      <w:rFonts w:ascii="Tahoma" w:hAnsi="Tahoma"/>
      <w:sz w:val="24"/>
      <w:szCs w:val="20"/>
    </w:rPr>
  </w:style>
  <w:style w:type="paragraph" w:customStyle="1" w:styleId="36">
    <w:name w:val="UserStyle_1"/>
    <w:basedOn w:val="1"/>
    <w:autoRedefine/>
    <w:qFormat/>
    <w:uiPriority w:val="0"/>
    <w:rPr>
      <w:rFonts w:ascii="宋体" w:hAnsi="宋体"/>
      <w:lang w:val="zh-CN" w:bidi="zh-CN"/>
    </w:rPr>
  </w:style>
  <w:style w:type="paragraph" w:customStyle="1" w:styleId="37">
    <w:name w:val="Table Paragraph"/>
    <w:basedOn w:val="1"/>
    <w:autoRedefine/>
    <w:qFormat/>
    <w:uiPriority w:val="1"/>
    <w:rPr>
      <w:rFonts w:ascii="宋体" w:hAnsi="宋体" w:cs="宋体"/>
      <w:lang w:val="zh-CN" w:bidi="zh-CN"/>
    </w:rPr>
  </w:style>
  <w:style w:type="character" w:customStyle="1" w:styleId="38">
    <w:name w:val="font111"/>
    <w:basedOn w:val="16"/>
    <w:autoRedefine/>
    <w:qFormat/>
    <w:uiPriority w:val="0"/>
    <w:rPr>
      <w:rFonts w:hint="eastAsia" w:ascii="微软雅黑" w:hAnsi="微软雅黑" w:eastAsia="微软雅黑" w:cs="微软雅黑"/>
      <w:b/>
      <w:bCs/>
      <w:color w:val="000000"/>
      <w:sz w:val="20"/>
      <w:szCs w:val="20"/>
      <w:u w:val="none"/>
    </w:rPr>
  </w:style>
  <w:style w:type="character" w:customStyle="1" w:styleId="39">
    <w:name w:val="批注框文本 Char"/>
    <w:basedOn w:val="16"/>
    <w:link w:val="9"/>
    <w:autoRedefine/>
    <w:qFormat/>
    <w:uiPriority w:val="0"/>
    <w:rPr>
      <w:rFonts w:asciiTheme="minorHAnsi" w:hAnsiTheme="minorHAnsi" w:eastAsiaTheme="minorEastAsia" w:cstheme="minorBidi"/>
      <w:kern w:val="2"/>
      <w:sz w:val="18"/>
      <w:szCs w:val="18"/>
    </w:rPr>
  </w:style>
  <w:style w:type="character" w:customStyle="1" w:styleId="40">
    <w:name w:val="页眉 Char"/>
    <w:basedOn w:val="16"/>
    <w:link w:val="11"/>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1875</Words>
  <Characters>10694</Characters>
  <Lines>89</Lines>
  <Paragraphs>25</Paragraphs>
  <TotalTime>77</TotalTime>
  <ScaleCrop>false</ScaleCrop>
  <LinksUpToDate>false</LinksUpToDate>
  <CharactersWithSpaces>12544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2024-02-21T09:12:33Z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9287CD1DB6F74A3D9E0854E8BB5C20FA</vt:lpwstr>
  </property>
</Properties>
</file>