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11.4平板清障车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r>
        <w:rPr>
          <w:rFonts w:hint="eastAsia" w:ascii="宋体" w:hAnsi="宋体" w:eastAsia="宋体" w:cs="宋体"/>
          <w:b/>
          <w:bCs/>
          <w:sz w:val="44"/>
          <w:szCs w:val="44"/>
          <w:highlight w:val="none"/>
          <w:lang w:eastAsia="zh-CN"/>
        </w:rPr>
        <w:t>（二次）</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4489_WPSOffice_Level2"/>
      <w:bookmarkStart w:id="4" w:name="_Toc13871"/>
      <w:bookmarkStart w:id="5" w:name="_Toc12765"/>
      <w:bookmarkStart w:id="6" w:name="_Toc24354_WPSOffice_Level2"/>
      <w:bookmarkStart w:id="7" w:name="_Toc525632585"/>
      <w:bookmarkStart w:id="8" w:name="_Toc6496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11.4平板清障车</w:t>
      </w:r>
      <w:r>
        <w:rPr>
          <w:rFonts w:hint="eastAsia" w:ascii="Times New Roman" w:hAnsi="Times New Roman" w:cs="Times New Roman"/>
          <w:szCs w:val="22"/>
          <w:u w:val="single"/>
        </w:rPr>
        <w:t>采购项目</w:t>
      </w:r>
      <w:r>
        <w:rPr>
          <w:rFonts w:hint="eastAsia" w:ascii="Times New Roman" w:hAnsi="Times New Roman" w:cs="Times New Roman"/>
          <w:szCs w:val="22"/>
          <w:u w:val="single"/>
          <w:lang w:eastAsia="zh-CN"/>
        </w:rPr>
        <w:t>（二次）</w:t>
      </w:r>
    </w:p>
    <w:p w14:paraId="3FE59B3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71565FE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1.3项目概况：</w:t>
      </w:r>
      <w:r>
        <w:rPr>
          <w:rFonts w:hint="eastAsia" w:ascii="Times New Roman" w:hAnsi="Times New Roman" w:cs="Times New Roman"/>
          <w:szCs w:val="22"/>
          <w:highlight w:val="none"/>
          <w:u w:val="single"/>
        </w:rPr>
        <w:t>用于高速公路</w:t>
      </w:r>
      <w:r>
        <w:rPr>
          <w:rFonts w:hint="eastAsia" w:ascii="Times New Roman" w:hAnsi="Times New Roman" w:cs="Times New Roman"/>
          <w:szCs w:val="22"/>
          <w:highlight w:val="none"/>
          <w:u w:val="single"/>
          <w:lang w:eastAsia="zh-CN"/>
        </w:rPr>
        <w:t>畅通保障应急</w:t>
      </w:r>
      <w:r>
        <w:rPr>
          <w:rFonts w:hint="eastAsia" w:ascii="Times New Roman" w:hAnsi="Times New Roman" w:cs="Times New Roman"/>
          <w:szCs w:val="22"/>
          <w:u w:val="single"/>
          <w:lang w:eastAsia="zh-CN"/>
        </w:rPr>
        <w:t>养护</w:t>
      </w:r>
      <w:r>
        <w:rPr>
          <w:rFonts w:hint="default" w:ascii="Times New Roman" w:hAnsi="Times New Roman" w:cs="Times New Roman"/>
          <w:szCs w:val="22"/>
          <w:u w:val="single"/>
        </w:rPr>
        <w:t xml:space="preserve"> </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8128_WPSOffice_Level2"/>
      <w:bookmarkStart w:id="10" w:name="_Toc525632586"/>
      <w:bookmarkStart w:id="11" w:name="_Toc23266_WPSOffice_Level2"/>
      <w:bookmarkStart w:id="12" w:name="_Toc18453"/>
      <w:bookmarkStart w:id="13" w:name="_Toc10274"/>
      <w:bookmarkStart w:id="14" w:name="_Toc17858_WPSOffice_Level2"/>
      <w:bookmarkStart w:id="15" w:name="_Toc18367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default" w:ascii="Times New Roman" w:hAnsi="Times New Roman" w:cs="Times New Roman"/>
          <w:color w:val="auto"/>
          <w:szCs w:val="22"/>
          <w:highlight w:val="none"/>
          <w:u w:val="single"/>
          <w:lang w:eastAsia="zh-CN"/>
        </w:rPr>
        <w:t>采</w:t>
      </w:r>
      <w:r>
        <w:rPr>
          <w:rFonts w:hint="default" w:ascii="Times New Roman" w:hAnsi="Times New Roman" w:cs="Times New Roman"/>
          <w:color w:val="auto"/>
          <w:szCs w:val="22"/>
          <w:highlight w:val="none"/>
          <w:u w:val="single"/>
          <w:lang w:val="en-US" w:eastAsia="zh-CN"/>
        </w:rPr>
        <w:t>购</w:t>
      </w:r>
      <w:r>
        <w:rPr>
          <w:rFonts w:hint="eastAsia" w:ascii="Times New Roman" w:hAnsi="Times New Roman" w:cs="Times New Roman"/>
          <w:color w:val="auto"/>
          <w:szCs w:val="22"/>
          <w:highlight w:val="none"/>
          <w:u w:val="single"/>
          <w:lang w:val="en-US" w:eastAsia="zh-CN"/>
        </w:rPr>
        <w:t>5吨平板型清障车1台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 xml:space="preserve">无 </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 xml:space="preserve">最高限价40万元 </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525632587"/>
      <w:bookmarkStart w:id="20" w:name="_Toc22379_WPSOffice_Level2"/>
      <w:bookmarkStart w:id="21" w:name="_Toc29516_WPSOffice_Level2"/>
      <w:bookmarkStart w:id="22" w:name="_Toc1622_WPSOffice_Level2"/>
      <w:bookmarkStart w:id="23" w:name="_Toc3714"/>
      <w:bookmarkStart w:id="24" w:name="_Toc6388"/>
      <w:bookmarkStart w:id="25" w:name="_Toc31673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1994"/>
      <w:bookmarkStart w:id="27" w:name="_Toc2996_WPSOffice_Level2"/>
      <w:bookmarkStart w:id="28" w:name="_Toc4751"/>
      <w:bookmarkStart w:id="29" w:name="_Toc525632588"/>
      <w:bookmarkStart w:id="30" w:name="_Toc25666_WPSOffice_Level2"/>
      <w:bookmarkStart w:id="31" w:name="_Toc4109_WPSOffice_Level2"/>
      <w:bookmarkStart w:id="32" w:name="_Toc29452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18</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17</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321_WPSOffice_Level2"/>
      <w:bookmarkStart w:id="38" w:name="_Toc20572_WPSOffice_Level2"/>
      <w:bookmarkStart w:id="39" w:name="_Toc28571_WPSOffice_Level2"/>
      <w:bookmarkStart w:id="40" w:name="_Toc8501"/>
      <w:bookmarkStart w:id="41" w:name="_Toc26829"/>
      <w:bookmarkStart w:id="42" w:name="_Toc14943_WPSOffice_Level2"/>
      <w:bookmarkStart w:id="43" w:name="_Toc52563259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bookmarkStart w:id="163" w:name="_GoBack"/>
      <w:bookmarkEnd w:id="163"/>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26656976"/>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26656994"/>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760"/>
        <w:gridCol w:w="784"/>
        <w:gridCol w:w="1043"/>
        <w:gridCol w:w="538"/>
        <w:gridCol w:w="4324"/>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2"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7"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8"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2"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5"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7"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628"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2"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5"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7"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628"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2"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5" w:type="pct"/>
            <w:vAlign w:val="center"/>
          </w:tcPr>
          <w:p w14:paraId="6D6D3C87">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5</w:t>
            </w:r>
          </w:p>
        </w:tc>
        <w:tc>
          <w:tcPr>
            <w:tcW w:w="2537"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628"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2" w:type="pct"/>
            <w:vAlign w:val="center"/>
          </w:tcPr>
          <w:p w14:paraId="688E375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5" w:type="pct"/>
            <w:vAlign w:val="center"/>
          </w:tcPr>
          <w:p w14:paraId="2E7A2216">
            <w:pPr>
              <w:spacing w:line="380" w:lineRule="atLeas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w:t>
            </w:r>
          </w:p>
        </w:tc>
        <w:tc>
          <w:tcPr>
            <w:tcW w:w="2537" w:type="pct"/>
            <w:vAlign w:val="center"/>
          </w:tcPr>
          <w:p w14:paraId="33CA8EC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分</w:t>
            </w:r>
            <w:r>
              <w:rPr>
                <w:rFonts w:hint="eastAsia"/>
              </w:rPr>
              <w:t>。</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8"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5"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7B2B24FA">
      <w:pPr>
        <w:spacing w:line="360" w:lineRule="auto"/>
        <w:rPr>
          <w:rFonts w:hint="eastAsia" w:ascii="宋体" w:hAnsi="宋体" w:eastAsia="宋体" w:cs="宋体"/>
          <w:szCs w:val="21"/>
        </w:rPr>
      </w:pPr>
      <w:r>
        <w:rPr>
          <w:rFonts w:hint="eastAsia" w:ascii="宋体" w:hAnsi="宋体" w:eastAsia="宋体" w:cs="宋体"/>
          <w:szCs w:val="21"/>
        </w:rPr>
        <w:t>乙方：</w:t>
      </w:r>
    </w:p>
    <w:p w14:paraId="3F90EBB1">
      <w:pPr>
        <w:spacing w:line="360" w:lineRule="auto"/>
        <w:rPr>
          <w:rFonts w:hint="eastAsia" w:ascii="宋体" w:hAnsi="宋体" w:eastAsia="宋体" w:cs="宋体"/>
          <w:szCs w:val="21"/>
        </w:rPr>
      </w:pPr>
    </w:p>
    <w:p w14:paraId="194E83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1.货物采购内容</w:t>
      </w:r>
    </w:p>
    <w:p w14:paraId="4D3D64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1.1甲方要求乙方提供</w:t>
      </w:r>
      <w:bookmarkEnd w:id="78"/>
      <w:r>
        <w:rPr>
          <w:rFonts w:hint="eastAsia" w:ascii="宋体" w:hAnsi="宋体" w:eastAsia="宋体" w:cs="宋体"/>
          <w:szCs w:val="21"/>
        </w:rPr>
        <w:t>的货物类别、品牌型号、数量和价格如下表。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61" w:type="pct"/>
            <w:vAlign w:val="center"/>
          </w:tcPr>
          <w:p w14:paraId="51C09904">
            <w:pPr>
              <w:spacing w:line="360" w:lineRule="auto"/>
              <w:jc w:val="center"/>
              <w:rPr>
                <w:rFonts w:hint="eastAsia" w:ascii="宋体" w:hAnsi="宋体" w:eastAsia="宋体" w:cs="宋体"/>
                <w:szCs w:val="21"/>
              </w:rPr>
            </w:pPr>
            <w:r>
              <w:rPr>
                <w:rFonts w:hint="eastAsia" w:ascii="宋体" w:hAnsi="宋体" w:eastAsia="宋体" w:cs="宋体"/>
                <w:szCs w:val="21"/>
              </w:rPr>
              <w:t>货物名称</w:t>
            </w:r>
          </w:p>
        </w:tc>
        <w:tc>
          <w:tcPr>
            <w:tcW w:w="1020" w:type="pct"/>
            <w:vAlign w:val="center"/>
          </w:tcPr>
          <w:p w14:paraId="2FFC12CA">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规格型号</w:t>
            </w:r>
          </w:p>
        </w:tc>
        <w:tc>
          <w:tcPr>
            <w:tcW w:w="933" w:type="pct"/>
            <w:vAlign w:val="center"/>
          </w:tcPr>
          <w:p w14:paraId="37831247">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57" w:type="pct"/>
            <w:vAlign w:val="center"/>
          </w:tcPr>
          <w:p w14:paraId="63B11A7E">
            <w:pPr>
              <w:spacing w:line="360" w:lineRule="auto"/>
              <w:jc w:val="center"/>
              <w:rPr>
                <w:rFonts w:hint="eastAsia" w:ascii="宋体" w:hAnsi="宋体" w:eastAsia="宋体" w:cs="宋体"/>
                <w:szCs w:val="21"/>
              </w:rPr>
            </w:pPr>
            <w:r>
              <w:rPr>
                <w:rFonts w:hint="eastAsia" w:ascii="宋体" w:hAnsi="宋体" w:eastAsia="宋体" w:cs="宋体"/>
                <w:szCs w:val="21"/>
              </w:rPr>
              <w:t>单价（元）</w:t>
            </w:r>
          </w:p>
        </w:tc>
        <w:tc>
          <w:tcPr>
            <w:tcW w:w="670" w:type="pct"/>
            <w:vAlign w:val="center"/>
          </w:tcPr>
          <w:p w14:paraId="15E6D44A">
            <w:pPr>
              <w:spacing w:line="360" w:lineRule="auto"/>
              <w:jc w:val="center"/>
              <w:rPr>
                <w:rFonts w:hint="eastAsia" w:ascii="宋体" w:hAnsi="宋体" w:eastAsia="宋体" w:cs="宋体"/>
                <w:szCs w:val="21"/>
              </w:rPr>
            </w:pPr>
            <w:r>
              <w:rPr>
                <w:rFonts w:hint="eastAsia" w:ascii="宋体" w:hAnsi="宋体" w:eastAsia="宋体" w:cs="宋体"/>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61" w:type="pct"/>
            <w:vAlign w:val="center"/>
          </w:tcPr>
          <w:p w14:paraId="0DB1A972">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1F64110A">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280A48DE">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69C65316">
            <w:pPr>
              <w:spacing w:line="360" w:lineRule="auto"/>
              <w:jc w:val="center"/>
              <w:rPr>
                <w:rFonts w:hint="eastAsia" w:ascii="宋体" w:hAnsi="宋体" w:eastAsia="宋体" w:cs="宋体"/>
                <w:szCs w:val="21"/>
              </w:rPr>
            </w:pPr>
          </w:p>
        </w:tc>
        <w:tc>
          <w:tcPr>
            <w:tcW w:w="670" w:type="pct"/>
            <w:vAlign w:val="center"/>
          </w:tcPr>
          <w:p w14:paraId="558BB0F7">
            <w:pPr>
              <w:spacing w:line="360" w:lineRule="auto"/>
              <w:jc w:val="center"/>
              <w:rPr>
                <w:rFonts w:hint="eastAsia" w:ascii="宋体" w:hAnsi="宋体" w:eastAsia="宋体" w:cs="宋体"/>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61" w:type="pct"/>
            <w:vAlign w:val="center"/>
          </w:tcPr>
          <w:p w14:paraId="16953157">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20E6DC7">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2486B16">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593E84C5">
            <w:pPr>
              <w:spacing w:line="360" w:lineRule="auto"/>
              <w:jc w:val="center"/>
              <w:rPr>
                <w:rFonts w:hint="eastAsia" w:ascii="宋体" w:hAnsi="宋体" w:eastAsia="宋体" w:cs="宋体"/>
                <w:szCs w:val="21"/>
              </w:rPr>
            </w:pPr>
          </w:p>
        </w:tc>
        <w:tc>
          <w:tcPr>
            <w:tcW w:w="670" w:type="pct"/>
            <w:vAlign w:val="center"/>
          </w:tcPr>
          <w:p w14:paraId="31C40B1D">
            <w:pPr>
              <w:spacing w:line="360" w:lineRule="auto"/>
              <w:jc w:val="center"/>
              <w:rPr>
                <w:rFonts w:hint="eastAsia" w:ascii="宋体" w:hAnsi="宋体" w:eastAsia="宋体" w:cs="宋体"/>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61" w:type="pct"/>
            <w:vAlign w:val="center"/>
          </w:tcPr>
          <w:p w14:paraId="763B52F5">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0A0351C">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78D3C29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4727ABEB">
            <w:pPr>
              <w:spacing w:line="360" w:lineRule="auto"/>
              <w:jc w:val="center"/>
              <w:rPr>
                <w:rFonts w:hint="eastAsia" w:ascii="宋体" w:hAnsi="宋体" w:eastAsia="宋体" w:cs="宋体"/>
                <w:szCs w:val="21"/>
              </w:rPr>
            </w:pPr>
          </w:p>
        </w:tc>
        <w:tc>
          <w:tcPr>
            <w:tcW w:w="670" w:type="pct"/>
            <w:vAlign w:val="center"/>
          </w:tcPr>
          <w:p w14:paraId="2808AD48">
            <w:pPr>
              <w:spacing w:line="360" w:lineRule="auto"/>
              <w:jc w:val="center"/>
              <w:rPr>
                <w:rFonts w:hint="eastAsia" w:ascii="宋体" w:hAnsi="宋体" w:eastAsia="宋体" w:cs="宋体"/>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61" w:type="pct"/>
            <w:vAlign w:val="center"/>
          </w:tcPr>
          <w:p w14:paraId="7BF4E87B">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4BD3F80F">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A1DD7D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18E95FF5">
            <w:pPr>
              <w:spacing w:line="360" w:lineRule="auto"/>
              <w:jc w:val="center"/>
              <w:rPr>
                <w:rFonts w:hint="eastAsia" w:ascii="宋体" w:hAnsi="宋体" w:eastAsia="宋体" w:cs="宋体"/>
                <w:szCs w:val="21"/>
              </w:rPr>
            </w:pPr>
          </w:p>
        </w:tc>
        <w:tc>
          <w:tcPr>
            <w:tcW w:w="670" w:type="pct"/>
            <w:vAlign w:val="center"/>
          </w:tcPr>
          <w:p w14:paraId="2DEEB1D4">
            <w:pPr>
              <w:spacing w:line="360" w:lineRule="auto"/>
              <w:jc w:val="center"/>
              <w:rPr>
                <w:rFonts w:hint="eastAsia" w:ascii="宋体" w:hAnsi="宋体" w:eastAsia="宋体" w:cs="宋体"/>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eastAsia" w:ascii="宋体" w:hAnsi="宋体" w:eastAsia="宋体" w:cs="宋体"/>
                <w:szCs w:val="21"/>
              </w:rPr>
            </w:pPr>
            <w:r>
              <w:rPr>
                <w:rFonts w:hint="eastAsia" w:ascii="宋体" w:hAnsi="宋体" w:eastAsia="宋体" w:cs="宋体"/>
                <w:szCs w:val="21"/>
              </w:rPr>
              <w:t xml:space="preserve">                         不含税价： 万       增值税：    万</w:t>
            </w:r>
          </w:p>
        </w:tc>
        <w:tc>
          <w:tcPr>
            <w:tcW w:w="670" w:type="pct"/>
            <w:vAlign w:val="center"/>
          </w:tcPr>
          <w:p w14:paraId="5E331A45">
            <w:pPr>
              <w:spacing w:line="360" w:lineRule="auto"/>
              <w:jc w:val="center"/>
              <w:rPr>
                <w:rFonts w:hint="eastAsia" w:ascii="宋体" w:hAnsi="宋体" w:eastAsia="宋体" w:cs="宋体"/>
                <w:szCs w:val="21"/>
              </w:rPr>
            </w:pPr>
          </w:p>
        </w:tc>
      </w:tr>
    </w:tbl>
    <w:p w14:paraId="2BC36387">
      <w:pPr>
        <w:spacing w:line="440" w:lineRule="exact"/>
        <w:ind w:firstLine="420"/>
        <w:rPr>
          <w:rFonts w:hint="eastAsia"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2.质量要求</w:t>
      </w:r>
    </w:p>
    <w:p w14:paraId="656BED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3.保修期限</w:t>
      </w:r>
    </w:p>
    <w:p w14:paraId="0587B2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乙方所供货物的保修期限为：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w:t>
      </w:r>
      <w:r>
        <w:rPr>
          <w:rFonts w:hint="eastAsia" w:ascii="宋体" w:hAnsi="宋体" w:eastAsia="宋体" w:cs="宋体"/>
          <w:szCs w:val="21"/>
          <w:u w:val="single"/>
        </w:rPr>
        <w:t>年（</w:t>
      </w:r>
      <w:r>
        <w:rPr>
          <w:rFonts w:hint="eastAsia" w:ascii="宋体" w:hAnsi="宋体" w:eastAsia="宋体" w:cs="宋体"/>
          <w:u w:val="single"/>
        </w:rPr>
        <w:t>自甲方验收合格货物之日起计算</w:t>
      </w:r>
      <w:r>
        <w:rPr>
          <w:rFonts w:hint="eastAsia" w:ascii="宋体" w:hAnsi="宋体" w:eastAsia="宋体" w:cs="宋体"/>
          <w:szCs w:val="21"/>
          <w:u w:val="single"/>
        </w:rPr>
        <w:t>） 。</w:t>
      </w:r>
    </w:p>
    <w:p w14:paraId="67C19AF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4.交货地点：</w:t>
      </w:r>
      <w:r>
        <w:rPr>
          <w:rFonts w:hint="eastAsia" w:ascii="宋体" w:hAnsi="宋体" w:eastAsia="宋体" w:cs="宋体"/>
          <w:szCs w:val="21"/>
          <w:u w:val="single"/>
        </w:rPr>
        <w:t>甲方指定</w:t>
      </w:r>
      <w:r>
        <w:rPr>
          <w:rFonts w:hint="eastAsia" w:ascii="宋体" w:hAnsi="宋体" w:eastAsia="宋体" w:cs="宋体"/>
          <w:szCs w:val="21"/>
        </w:rPr>
        <w:t>。</w:t>
      </w:r>
    </w:p>
    <w:p w14:paraId="461700D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5.供货期限</w:t>
      </w:r>
    </w:p>
    <w:p w14:paraId="35213B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本项目供货期限为：</w:t>
      </w:r>
      <w:r>
        <w:rPr>
          <w:rFonts w:hint="eastAsia" w:ascii="宋体" w:hAnsi="宋体" w:eastAsia="宋体" w:cs="宋体"/>
          <w:szCs w:val="21"/>
          <w:highlight w:val="none"/>
          <w:u w:val="single"/>
        </w:rPr>
        <w:t>合同签订之日起</w:t>
      </w:r>
      <w:r>
        <w:rPr>
          <w:rFonts w:hint="eastAsia" w:ascii="宋体" w:hAnsi="宋体" w:eastAsia="宋体" w:cs="宋体"/>
          <w:szCs w:val="21"/>
          <w:highlight w:val="none"/>
          <w:u w:val="single"/>
          <w:lang w:val="en-US" w:eastAsia="zh-CN"/>
        </w:rPr>
        <w:t>30</w:t>
      </w:r>
      <w:r>
        <w:rPr>
          <w:rFonts w:hint="eastAsia" w:ascii="宋体" w:hAnsi="宋体" w:eastAsia="宋体" w:cs="宋体"/>
          <w:szCs w:val="21"/>
          <w:highlight w:val="none"/>
          <w:u w:val="single"/>
        </w:rPr>
        <w:t>个日历日</w:t>
      </w:r>
      <w:r>
        <w:rPr>
          <w:rFonts w:hint="eastAsia" w:ascii="宋体" w:hAnsi="宋体" w:eastAsia="宋体" w:cs="宋体"/>
          <w:szCs w:val="21"/>
          <w:highlight w:val="none"/>
          <w:u w:val="single"/>
          <w:lang w:val="en-US" w:eastAsia="zh-CN"/>
        </w:rPr>
        <w:t>内</w:t>
      </w:r>
      <w:r>
        <w:rPr>
          <w:rFonts w:hint="eastAsia" w:ascii="宋体" w:hAnsi="宋体" w:eastAsia="宋体" w:cs="宋体"/>
          <w:szCs w:val="21"/>
        </w:rPr>
        <w:t>。</w:t>
      </w:r>
    </w:p>
    <w:p w14:paraId="22313D9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6.付款方式</w:t>
      </w:r>
    </w:p>
    <w:p w14:paraId="48EE6ECA">
      <w:pPr>
        <w:widowControl/>
        <w:adjustRightInd w:val="0"/>
        <w:snapToGrid w:val="0"/>
        <w:spacing w:line="400" w:lineRule="atLeast"/>
        <w:ind w:firstLine="420" w:firstLineChars="200"/>
        <w:jc w:val="both"/>
        <w:rPr>
          <w:rFonts w:hint="eastAsia" w:ascii="宋体" w:hAnsi="宋体" w:eastAsia="宋体" w:cs="宋体"/>
          <w:kern w:val="0"/>
          <w:szCs w:val="21"/>
        </w:rPr>
      </w:pPr>
      <w:r>
        <w:rPr>
          <w:rFonts w:hint="eastAsia" w:ascii="宋体" w:hAnsi="宋体" w:eastAsia="宋体" w:cs="宋体"/>
          <w:color w:val="333333"/>
          <w:kern w:val="0"/>
          <w:szCs w:val="21"/>
          <w:highlight w:val="none"/>
        </w:rPr>
        <w:t>6.1所购车辆送到询价单位指定交付地点经验收合格并开具机动车销售增值税专用发票，</w:t>
      </w:r>
      <w:r>
        <w:rPr>
          <w:rFonts w:hint="eastAsia" w:ascii="宋体" w:hAnsi="宋体" w:eastAsia="宋体" w:cs="宋体"/>
          <w:szCs w:val="21"/>
          <w:highlight w:val="none"/>
        </w:rPr>
        <w:t>车辆交接验收完成后</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rPr>
          <w:rFonts w:hint="eastAsia" w:ascii="宋体" w:hAnsi="宋体" w:eastAsia="宋体" w:cs="宋体"/>
        </w:rPr>
      </w:pPr>
    </w:p>
    <w:p w14:paraId="645E5931">
      <w:pPr>
        <w:pStyle w:val="6"/>
        <w:rPr>
          <w:rFonts w:hint="eastAsia" w:ascii="宋体" w:hAnsi="宋体" w:eastAsia="宋体" w:cs="宋体"/>
          <w:szCs w:val="21"/>
        </w:rPr>
      </w:pPr>
      <w:r>
        <w:rPr>
          <w:rFonts w:hint="eastAsia" w:ascii="宋体" w:hAnsi="宋体" w:eastAsia="宋体" w:cs="宋体"/>
          <w:szCs w:val="21"/>
        </w:rPr>
        <w:t>6.2 收款账户</w:t>
      </w:r>
    </w:p>
    <w:p w14:paraId="491B5A1F">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账户名：</w:t>
      </w:r>
    </w:p>
    <w:p w14:paraId="33DD790A">
      <w:pPr>
        <w:pStyle w:val="7"/>
        <w:rPr>
          <w:rFonts w:hint="eastAsia" w:ascii="宋体" w:hAnsi="宋体" w:eastAsia="宋体" w:cs="宋体"/>
          <w:szCs w:val="21"/>
        </w:rPr>
      </w:pPr>
    </w:p>
    <w:p w14:paraId="6B00AAE2">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账号：</w:t>
      </w:r>
    </w:p>
    <w:p w14:paraId="070CD6FA">
      <w:pPr>
        <w:pStyle w:val="7"/>
        <w:rPr>
          <w:rFonts w:hint="eastAsia" w:ascii="宋体" w:hAnsi="宋体" w:eastAsia="宋体" w:cs="宋体"/>
          <w:szCs w:val="21"/>
        </w:rPr>
      </w:pPr>
    </w:p>
    <w:p w14:paraId="35803A3F">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开户行：</w:t>
      </w:r>
    </w:p>
    <w:p w14:paraId="379E15C2">
      <w:pPr>
        <w:pStyle w:val="7"/>
        <w:rPr>
          <w:rFonts w:hint="eastAsia" w:ascii="宋体" w:hAnsi="宋体" w:eastAsia="宋体" w:cs="宋体"/>
          <w:szCs w:val="21"/>
        </w:rPr>
      </w:pPr>
    </w:p>
    <w:p w14:paraId="2BE6C1C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7.权利瑕疵担保</w:t>
      </w:r>
    </w:p>
    <w:p w14:paraId="6C3BD4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7.1乙方保证对其出售的货物享有合法的权利。</w:t>
      </w:r>
    </w:p>
    <w:p w14:paraId="1943CF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7.2乙方保证在其出售的货物上不存在任何未曾向对方透露的担保物权，如抵押权、质押权、留置权等。</w:t>
      </w:r>
    </w:p>
    <w:p w14:paraId="15F8DA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7.3乙方保证其所出售的货物没有侵犯任何第三人的知识产权和商业秘密等权利。</w:t>
      </w:r>
    </w:p>
    <w:p w14:paraId="69FE94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7.4如甲方使用该货物构成上述侵权的，则由乙方承担全部责任。</w:t>
      </w:r>
    </w:p>
    <w:p w14:paraId="27A7AD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7.5如货物需要乙方负责安装的，乙方承担验收合格前发生的安全责任。</w:t>
      </w:r>
    </w:p>
    <w:p w14:paraId="79081FD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8.包装规定</w:t>
      </w:r>
    </w:p>
    <w:p w14:paraId="79EE15CB">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8.2每一个包装箱内应</w:t>
      </w:r>
      <w:r>
        <w:rPr>
          <w:rFonts w:hint="eastAsia" w:ascii="宋体" w:hAnsi="宋体" w:eastAsia="宋体" w:cs="宋体"/>
          <w:szCs w:val="21"/>
          <w:lang w:eastAsia="zh-CN"/>
        </w:rPr>
        <w:t>附有</w:t>
      </w:r>
      <w:r>
        <w:rPr>
          <w:rFonts w:hint="eastAsia" w:ascii="宋体" w:hAnsi="宋体" w:eastAsia="宋体" w:cs="宋体"/>
          <w:szCs w:val="21"/>
        </w:rPr>
        <w:t>标准配置的有关技术，质量，三包等资料。</w:t>
      </w:r>
    </w:p>
    <w:p w14:paraId="1E01F6F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9.验收及安装</w:t>
      </w:r>
    </w:p>
    <w:p w14:paraId="02B526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9.1由甲方根据货物的技术规格要求和质量标准，对货物进行检查验收。</w:t>
      </w:r>
    </w:p>
    <w:p w14:paraId="41C3A7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9.2如检验不满足采购文件要求或不能按照国家标准正常使用，由乙方返工。如再次检验不合格，甲方有权取消合同，</w:t>
      </w:r>
      <w:r>
        <w:rPr>
          <w:rFonts w:hint="eastAsia" w:ascii="宋体" w:hAnsi="宋体" w:eastAsia="宋体" w:cs="宋体"/>
        </w:rPr>
        <w:t>乙方需全额退还货款且承担相应损失。</w:t>
      </w:r>
    </w:p>
    <w:p w14:paraId="506C5C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9.3乙方提供的货物，需提供相应的货物质量合格证书和说明书。乙方交货必须严格按照合同约定的产品规格、型号要求，否则甲方有权拒收。收货后发现返修率达到</w:t>
      </w:r>
      <w:r>
        <w:rPr>
          <w:rFonts w:hint="eastAsia" w:ascii="宋体" w:hAnsi="宋体" w:eastAsia="宋体" w:cs="宋体"/>
          <w:szCs w:val="21"/>
          <w:u w:val="single"/>
        </w:rPr>
        <w:t xml:space="preserve"> 10 </w:t>
      </w:r>
      <w:r>
        <w:rPr>
          <w:rFonts w:hint="eastAsia" w:ascii="宋体" w:hAnsi="宋体" w:eastAsia="宋体" w:cs="宋体"/>
          <w:szCs w:val="21"/>
        </w:rPr>
        <w:t>%以上的，甲方有权终止合同，</w:t>
      </w:r>
      <w:r>
        <w:rPr>
          <w:rFonts w:hint="eastAsia" w:ascii="宋体" w:hAnsi="宋体" w:eastAsia="宋体" w:cs="宋体"/>
        </w:rPr>
        <w:t>乙方需全额退还货款且承担相应损失。</w:t>
      </w:r>
    </w:p>
    <w:p w14:paraId="55C9FCD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10.售后服务</w:t>
      </w:r>
    </w:p>
    <w:p w14:paraId="77F506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10.1乙方承诺的售后服务按照响应文件的服务承诺方案实施。</w:t>
      </w:r>
    </w:p>
    <w:p w14:paraId="4685E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10.2货物售后服务质量技术标准：按国家新“三包”规定执行，如有质量问题7天内包退，15天内包换。</w:t>
      </w:r>
    </w:p>
    <w:p w14:paraId="3F0B4D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10.3货物出现产品故障时，售后响应时间为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6956E95">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10.4售后服务由乙方全权负责，成立专门售后服务小组，保证提供完善的售后服务。售后联系人：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BC770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11.违约责任</w:t>
      </w:r>
    </w:p>
    <w:p w14:paraId="5062C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11.1因乙方原因不能按照约定期限交货并完成安装（如需）的，应承担违约责任。即每逾期一天须向甲方支付逾期货物价款</w:t>
      </w:r>
      <w:r>
        <w:rPr>
          <w:rFonts w:hint="eastAsia" w:ascii="宋体" w:hAnsi="宋体" w:eastAsia="宋体" w:cs="宋体"/>
          <w:szCs w:val="21"/>
          <w:u w:val="single"/>
        </w:rPr>
        <w:t xml:space="preserve">1 </w:t>
      </w:r>
      <w:r>
        <w:rPr>
          <w:rFonts w:hint="eastAsia" w:ascii="宋体" w:hAnsi="宋体" w:eastAsia="宋体" w:cs="宋体"/>
          <w:szCs w:val="21"/>
        </w:rPr>
        <w:t>%的违约金，延期超过</w:t>
      </w:r>
      <w:r>
        <w:rPr>
          <w:rFonts w:hint="eastAsia" w:ascii="宋体" w:hAnsi="宋体" w:eastAsia="宋体" w:cs="宋体"/>
          <w:szCs w:val="21"/>
          <w:u w:val="single"/>
        </w:rPr>
        <w:t xml:space="preserve">10 </w:t>
      </w:r>
      <w:r>
        <w:rPr>
          <w:rFonts w:hint="eastAsia" w:ascii="宋体" w:hAnsi="宋体" w:eastAsia="宋体" w:cs="宋体"/>
          <w:szCs w:val="21"/>
        </w:rPr>
        <w:t>日的，甲方将解除合同并要求乙方赔偿逾期损失。</w:t>
      </w:r>
    </w:p>
    <w:p w14:paraId="0AA76E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11.2乙方交付货物不符合相关质量标准的，乙方负责包修包换，其中修理三次仍不能正常使用的，乙方同意按退货处理。</w:t>
      </w:r>
      <w:r>
        <w:rPr>
          <w:rFonts w:hint="eastAsia" w:ascii="宋体" w:hAnsi="宋体" w:eastAsia="宋体" w:cs="宋体"/>
          <w:szCs w:val="21"/>
          <w:lang w:eastAsia="zh-CN"/>
        </w:rPr>
        <w:t>乙方包修</w:t>
      </w:r>
      <w:r>
        <w:rPr>
          <w:rFonts w:hint="eastAsia" w:ascii="宋体" w:hAnsi="宋体" w:eastAsia="宋体" w:cs="宋体"/>
          <w:szCs w:val="21"/>
        </w:rPr>
        <w:t>包换设备及退货退款的，应当在</w:t>
      </w:r>
      <w:r>
        <w:rPr>
          <w:rFonts w:hint="eastAsia" w:ascii="宋体" w:hAnsi="宋体" w:eastAsia="宋体" w:cs="宋体"/>
          <w:szCs w:val="21"/>
          <w:u w:val="single"/>
        </w:rPr>
        <w:t xml:space="preserve">3 </w:t>
      </w:r>
      <w:r>
        <w:rPr>
          <w:rFonts w:hint="eastAsia" w:ascii="宋体" w:hAnsi="宋体" w:eastAsia="宋体" w:cs="宋体"/>
          <w:szCs w:val="21"/>
        </w:rPr>
        <w:t>日内完成，不能按约定完成的，每天按相应货物价款的</w:t>
      </w:r>
      <w:r>
        <w:rPr>
          <w:rFonts w:hint="eastAsia" w:ascii="宋体" w:hAnsi="宋体" w:eastAsia="宋体" w:cs="宋体"/>
          <w:szCs w:val="21"/>
          <w:u w:val="single"/>
        </w:rPr>
        <w:t xml:space="preserve">1 </w:t>
      </w:r>
      <w:r>
        <w:rPr>
          <w:rFonts w:hint="eastAsia" w:ascii="宋体" w:hAnsi="宋体" w:eastAsia="宋体" w:cs="宋体"/>
          <w:szCs w:val="21"/>
        </w:rPr>
        <w:t>%的标准向甲方支付违约金。</w:t>
      </w:r>
    </w:p>
    <w:p w14:paraId="0DC4FD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11.3乙方货物运输、安装、调试、试运行等过程中对自身或他人造成的任何人身或财产损失，均全部由乙方负责。</w:t>
      </w:r>
    </w:p>
    <w:p w14:paraId="313199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11.4乙方所交付货物侵犯第三方权益的，应承担由此给甲方造成的一切损失，并承担一切后果。</w:t>
      </w:r>
    </w:p>
    <w:p w14:paraId="6479AB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11.5若发生其他违约情形，违约方应赔偿由此给对方的损失。如属双方过失，应各自承担相应责任。</w:t>
      </w:r>
    </w:p>
    <w:p w14:paraId="319561D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11.6</w:t>
      </w:r>
      <w:r>
        <w:rPr>
          <w:rFonts w:hint="eastAsia" w:ascii="宋体" w:hAnsi="宋体" w:eastAsia="宋体" w:cs="宋体"/>
          <w:szCs w:val="21"/>
        </w:rPr>
        <w:t>乙方</w:t>
      </w:r>
      <w:r>
        <w:rPr>
          <w:rFonts w:hint="eastAsia" w:ascii="宋体" w:hAnsi="宋体" w:eastAsia="宋体" w:cs="宋体"/>
          <w:bCs/>
          <w:szCs w:val="21"/>
        </w:rPr>
        <w:t>必须保证甲方在使用乙方提供的货物时，不存在任何已知的不合法的情形，也不存在已知的与第三方专利权</w:t>
      </w:r>
      <w:r>
        <w:rPr>
          <w:rFonts w:hint="eastAsia" w:ascii="宋体" w:hAnsi="宋体" w:eastAsia="宋体" w:cs="宋体"/>
          <w:szCs w:val="21"/>
        </w:rPr>
        <w:t>、著作权、商标权或工业设计权相关的任何争议，如果有任何因甲方使用乙方提供的货物而提起的侵权指控，乙方依法承担全部责任</w:t>
      </w:r>
      <w:r>
        <w:rPr>
          <w:rFonts w:hint="eastAsia" w:ascii="宋体" w:hAnsi="宋体" w:eastAsia="宋体" w:cs="宋体"/>
          <w:bCs/>
          <w:szCs w:val="21"/>
        </w:rPr>
        <w:t>。</w:t>
      </w:r>
    </w:p>
    <w:p w14:paraId="28BD96A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12.合同的变更</w:t>
      </w:r>
    </w:p>
    <w:p w14:paraId="0A3969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12.1在合同履行过程中，供货价格不随任何因素发生变化。</w:t>
      </w:r>
    </w:p>
    <w:p w14:paraId="7F1E5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12.2在合同履行过程中，甲方有权调整供货数量。如增加或减少供货数量时，甲方应提前</w:t>
      </w:r>
      <w:r>
        <w:rPr>
          <w:rFonts w:hint="eastAsia" w:ascii="宋体" w:hAnsi="宋体" w:eastAsia="宋体" w:cs="宋体"/>
          <w:szCs w:val="21"/>
          <w:lang w:val="en-US" w:eastAsia="zh-CN"/>
        </w:rPr>
        <w:t>15</w:t>
      </w:r>
      <w:r>
        <w:rPr>
          <w:rFonts w:hint="eastAsia" w:ascii="宋体" w:hAnsi="宋体" w:eastAsia="宋体" w:cs="宋体"/>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13.不可抗力</w:t>
      </w:r>
    </w:p>
    <w:p w14:paraId="740BA8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14.争议解决方式</w:t>
      </w:r>
    </w:p>
    <w:p w14:paraId="38F363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本合同项下所发生的争议，由双方协商解决，协商不成的，双方同意按照依法向人民法院提起诉讼解决。</w:t>
      </w:r>
    </w:p>
    <w:p w14:paraId="29BD82A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15.其他条款</w:t>
      </w:r>
    </w:p>
    <w:p w14:paraId="5D02DC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15.1本合同自双方签名盖章之日起生效。本合同及附件共</w:t>
      </w:r>
      <w:r>
        <w:rPr>
          <w:rFonts w:hint="eastAsia" w:ascii="宋体" w:hAnsi="宋体" w:eastAsia="宋体" w:cs="宋体"/>
          <w:szCs w:val="21"/>
          <w:lang w:val="en-US" w:eastAsia="zh-CN"/>
        </w:rPr>
        <w:t>4</w:t>
      </w:r>
      <w:r>
        <w:rPr>
          <w:rFonts w:hint="eastAsia" w:ascii="宋体" w:hAnsi="宋体" w:eastAsia="宋体" w:cs="宋体"/>
          <w:szCs w:val="21"/>
        </w:rPr>
        <w:t>页，一式</w:t>
      </w:r>
      <w:r>
        <w:rPr>
          <w:rFonts w:hint="eastAsia" w:ascii="宋体" w:hAnsi="宋体" w:eastAsia="宋体" w:cs="宋体"/>
          <w:szCs w:val="21"/>
          <w:u w:val="single"/>
          <w:lang w:eastAsia="zh-CN"/>
        </w:rPr>
        <w:t>肆</w:t>
      </w:r>
      <w:r>
        <w:rPr>
          <w:rFonts w:hint="eastAsia" w:ascii="宋体" w:hAnsi="宋体" w:eastAsia="宋体" w:cs="宋体"/>
          <w:szCs w:val="21"/>
        </w:rPr>
        <w:t>份，具有同等法律效力，其中甲方</w:t>
      </w:r>
      <w:r>
        <w:rPr>
          <w:rFonts w:hint="eastAsia" w:ascii="宋体" w:hAnsi="宋体" w:eastAsia="宋体" w:cs="宋体"/>
          <w:szCs w:val="21"/>
          <w:u w:val="single"/>
        </w:rPr>
        <w:t>贰</w:t>
      </w:r>
      <w:r>
        <w:rPr>
          <w:rFonts w:hint="eastAsia" w:ascii="宋体" w:hAnsi="宋体" w:eastAsia="宋体" w:cs="宋体"/>
          <w:szCs w:val="21"/>
        </w:rPr>
        <w:t>份，乙方</w:t>
      </w:r>
      <w:r>
        <w:rPr>
          <w:rFonts w:hint="eastAsia" w:ascii="宋体" w:hAnsi="宋体" w:eastAsia="宋体" w:cs="宋体"/>
          <w:szCs w:val="21"/>
          <w:u w:val="single"/>
        </w:rPr>
        <w:t>贰</w:t>
      </w:r>
      <w:r>
        <w:rPr>
          <w:rFonts w:hint="eastAsia" w:ascii="宋体" w:hAnsi="宋体" w:eastAsia="宋体" w:cs="宋体"/>
          <w:szCs w:val="21"/>
        </w:rPr>
        <w:t>份。</w:t>
      </w:r>
    </w:p>
    <w:p w14:paraId="477B73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15.3本合同未尽事宜，双方可协商签订补充协议，补充协议与本合同具有同等法律效力。</w:t>
      </w:r>
    </w:p>
    <w:p w14:paraId="0C2A17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15.4其他约定：</w:t>
      </w:r>
      <w:r>
        <w:rPr>
          <w:rFonts w:hint="eastAsia" w:ascii="宋体" w:hAnsi="宋体" w:eastAsia="宋体" w:cs="宋体"/>
          <w:szCs w:val="21"/>
          <w:u w:val="single"/>
          <w:lang w:val="en-US" w:eastAsia="zh-CN"/>
        </w:rPr>
        <w:t>无</w:t>
      </w:r>
      <w:r>
        <w:rPr>
          <w:rFonts w:hint="eastAsia" w:ascii="宋体" w:hAnsi="宋体" w:eastAsia="宋体" w:cs="宋体"/>
          <w:szCs w:val="21"/>
        </w:rPr>
        <w:t>。</w:t>
      </w:r>
    </w:p>
    <w:p w14:paraId="11C1A25F">
      <w:pPr>
        <w:spacing w:line="360" w:lineRule="auto"/>
        <w:ind w:firstLine="420" w:firstLineChars="200"/>
        <w:rPr>
          <w:rFonts w:hint="eastAsia" w:ascii="宋体" w:hAnsi="宋体" w:eastAsia="宋体" w:cs="宋体"/>
          <w:szCs w:val="21"/>
        </w:rPr>
      </w:pPr>
    </w:p>
    <w:p w14:paraId="6BC523B5">
      <w:pPr>
        <w:pStyle w:val="5"/>
        <w:rPr>
          <w:rFonts w:hint="eastAsia" w:ascii="宋体" w:hAnsi="宋体" w:eastAsia="宋体" w:cs="宋体"/>
          <w:szCs w:val="21"/>
        </w:rPr>
      </w:pPr>
    </w:p>
    <w:p w14:paraId="51D3D73D">
      <w:pPr>
        <w:rPr>
          <w:rFonts w:hint="eastAsia" w:ascii="宋体" w:hAnsi="宋体" w:eastAsia="宋体" w:cs="宋体"/>
        </w:rPr>
      </w:pPr>
    </w:p>
    <w:p w14:paraId="650AB6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74D60012">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28705C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年 月 日</w:t>
      </w:r>
    </w:p>
    <w:p w14:paraId="672A4936">
      <w:pPr>
        <w:spacing w:line="360" w:lineRule="auto"/>
        <w:ind w:firstLine="420" w:firstLineChars="200"/>
        <w:rPr>
          <w:rFonts w:hint="eastAsia" w:ascii="宋体" w:hAnsi="宋体" w:eastAsia="宋体" w:cs="宋体"/>
          <w:szCs w:val="21"/>
        </w:rPr>
      </w:pPr>
    </w:p>
    <w:p w14:paraId="56D0AF2E">
      <w:pPr>
        <w:pStyle w:val="3"/>
        <w:numPr>
          <w:ilvl w:val="0"/>
          <w:numId w:val="0"/>
        </w:numPr>
        <w:ind w:left="417" w:leftChars="0"/>
        <w:rPr>
          <w:rFonts w:hint="eastAsia" w:ascii="宋体" w:hAnsi="宋体" w:eastAsia="宋体" w:cs="宋体"/>
        </w:rPr>
      </w:pPr>
    </w:p>
    <w:p w14:paraId="086500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5E77CE7A">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151E7F53">
      <w:pPr>
        <w:spacing w:line="360" w:lineRule="auto"/>
        <w:ind w:firstLine="420" w:firstLineChars="200"/>
        <w:rPr>
          <w:rFonts w:hint="eastAsia" w:ascii="宋体" w:hAnsi="宋体" w:eastAsia="宋体" w:cs="宋体"/>
          <w:sz w:val="24"/>
        </w:rPr>
      </w:pPr>
      <w:r>
        <w:rPr>
          <w:rFonts w:hint="eastAsia" w:ascii="宋体" w:hAnsi="宋体" w:eastAsia="宋体" w:cs="宋体"/>
          <w:szCs w:val="21"/>
        </w:rPr>
        <w:tab/>
      </w:r>
      <w:r>
        <w:rPr>
          <w:rFonts w:hint="eastAsia" w:ascii="宋体" w:hAnsi="宋体" w:eastAsia="宋体" w:cs="宋体"/>
          <w:szCs w:val="21"/>
        </w:rPr>
        <w:t>年 月 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746CF38D">
      <w:pPr>
        <w:spacing w:line="360" w:lineRule="auto"/>
        <w:ind w:firstLine="422" w:firstLineChars="200"/>
        <w:jc w:val="left"/>
        <w:rPr>
          <w:rFonts w:hint="eastAsia" w:ascii="Times New Roman" w:hAnsi="Times New Roman" w:eastAsia="宋体" w:cs="Times New Roman"/>
          <w:b/>
          <w:bCs/>
          <w:sz w:val="36"/>
          <w:szCs w:val="36"/>
        </w:rPr>
      </w:pPr>
      <w:bookmarkStart w:id="79" w:name="_Toc9834_WPSOffice_Level1"/>
      <w:r>
        <w:rPr>
          <w:rFonts w:hint="eastAsia" w:ascii="宋体" w:hAnsi="宋体" w:eastAsia="宋体" w:cs="宋体"/>
          <w:b/>
          <w:bCs/>
          <w:sz w:val="21"/>
          <w:szCs w:val="21"/>
          <w:lang w:eastAsia="zh-CN"/>
        </w:rPr>
        <w:t>一、</w:t>
      </w:r>
      <w:r>
        <w:rPr>
          <w:rFonts w:hint="eastAsia" w:ascii="宋体" w:hAnsi="宋体" w:eastAsia="宋体" w:cs="宋体"/>
          <w:b/>
          <w:bCs/>
          <w:sz w:val="21"/>
          <w:szCs w:val="21"/>
          <w:lang w:eastAsia="en-US"/>
        </w:rPr>
        <w:t>技术性能指标一览表</w:t>
      </w:r>
    </w:p>
    <w:tbl>
      <w:tblPr>
        <w:tblStyle w:val="15"/>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2579"/>
        <w:gridCol w:w="5335"/>
      </w:tblGrid>
      <w:tr w14:paraId="623A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72" w:type="dxa"/>
            <w:vAlign w:val="center"/>
          </w:tcPr>
          <w:p w14:paraId="5B8851F0">
            <w:pPr>
              <w:autoSpaceDE w:val="0"/>
              <w:autoSpaceDN w:val="0"/>
              <w:adjustRightInd w:val="0"/>
              <w:jc w:val="center"/>
              <w:rPr>
                <w:rFonts w:hint="eastAsia" w:ascii="宋体" w:hAnsi="宋体" w:eastAsia="宋体" w:cs="宋体"/>
                <w:b/>
                <w:spacing w:val="20"/>
                <w:szCs w:val="21"/>
              </w:rPr>
            </w:pPr>
            <w:r>
              <w:rPr>
                <w:rFonts w:hint="eastAsia" w:ascii="宋体" w:hAnsi="宋体" w:eastAsia="宋体" w:cs="宋体"/>
                <w:b/>
                <w:spacing w:val="20"/>
                <w:szCs w:val="21"/>
              </w:rPr>
              <w:t>序号</w:t>
            </w:r>
          </w:p>
        </w:tc>
        <w:tc>
          <w:tcPr>
            <w:tcW w:w="2579" w:type="dxa"/>
            <w:vAlign w:val="center"/>
          </w:tcPr>
          <w:p w14:paraId="17BC4AFE">
            <w:pPr>
              <w:autoSpaceDE w:val="0"/>
              <w:autoSpaceDN w:val="0"/>
              <w:adjustRightInd w:val="0"/>
              <w:jc w:val="center"/>
              <w:rPr>
                <w:rFonts w:hint="eastAsia" w:ascii="宋体" w:hAnsi="宋体" w:eastAsia="宋体" w:cs="宋体"/>
                <w:b/>
                <w:spacing w:val="20"/>
                <w:szCs w:val="21"/>
              </w:rPr>
            </w:pPr>
            <w:r>
              <w:rPr>
                <w:rFonts w:hint="eastAsia" w:ascii="宋体" w:hAnsi="宋体" w:eastAsia="宋体" w:cs="宋体"/>
                <w:b/>
                <w:spacing w:val="20"/>
                <w:szCs w:val="21"/>
              </w:rPr>
              <w:t>项目</w:t>
            </w:r>
          </w:p>
        </w:tc>
        <w:tc>
          <w:tcPr>
            <w:tcW w:w="5335" w:type="dxa"/>
            <w:vAlign w:val="center"/>
          </w:tcPr>
          <w:p w14:paraId="2D95ADD8">
            <w:pPr>
              <w:autoSpaceDE w:val="0"/>
              <w:autoSpaceDN w:val="0"/>
              <w:adjustRightInd w:val="0"/>
              <w:jc w:val="center"/>
              <w:rPr>
                <w:rFonts w:hint="eastAsia" w:ascii="宋体" w:hAnsi="宋体" w:eastAsia="宋体" w:cs="宋体"/>
                <w:b/>
                <w:spacing w:val="20"/>
                <w:szCs w:val="21"/>
              </w:rPr>
            </w:pPr>
            <w:r>
              <w:rPr>
                <w:rFonts w:hint="eastAsia" w:ascii="宋体" w:hAnsi="宋体" w:eastAsia="宋体" w:cs="宋体"/>
                <w:b/>
                <w:bCs/>
                <w:kern w:val="0"/>
                <w:szCs w:val="21"/>
              </w:rPr>
              <w:t>买方技术参数要求</w:t>
            </w:r>
          </w:p>
        </w:tc>
      </w:tr>
      <w:tr w14:paraId="6A43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72" w:type="dxa"/>
            <w:vAlign w:val="center"/>
          </w:tcPr>
          <w:p w14:paraId="0BA71CD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一</w:t>
            </w:r>
          </w:p>
        </w:tc>
        <w:tc>
          <w:tcPr>
            <w:tcW w:w="2579" w:type="dxa"/>
            <w:vAlign w:val="center"/>
          </w:tcPr>
          <w:p w14:paraId="25094E4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供货范围</w:t>
            </w:r>
          </w:p>
        </w:tc>
        <w:tc>
          <w:tcPr>
            <w:tcW w:w="5335" w:type="dxa"/>
            <w:vAlign w:val="center"/>
          </w:tcPr>
          <w:p w14:paraId="710BBC4C">
            <w:pPr>
              <w:widowControl/>
              <w:autoSpaceDE w:val="0"/>
              <w:autoSpaceDN w:val="0"/>
              <w:adjustRightInd w:val="0"/>
              <w:spacing w:line="240" w:lineRule="exact"/>
              <w:jc w:val="center"/>
              <w:rPr>
                <w:rFonts w:hint="eastAsia" w:ascii="宋体" w:hAnsi="宋体" w:eastAsia="宋体" w:cs="宋体"/>
                <w:szCs w:val="21"/>
              </w:rPr>
            </w:pPr>
            <w:r>
              <w:rPr>
                <w:rFonts w:hint="eastAsia" w:ascii="宋体" w:hAnsi="宋体" w:eastAsia="宋体" w:cs="宋体"/>
                <w:szCs w:val="21"/>
              </w:rPr>
              <w:t>主车、专用工具、运输和保险及验收、相关技术服务、上牌、交相关税费、上保险</w:t>
            </w:r>
          </w:p>
        </w:tc>
      </w:tr>
      <w:tr w14:paraId="212D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F9D48D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二</w:t>
            </w:r>
          </w:p>
        </w:tc>
        <w:tc>
          <w:tcPr>
            <w:tcW w:w="2579" w:type="dxa"/>
            <w:vAlign w:val="center"/>
          </w:tcPr>
          <w:p w14:paraId="0FFFB998">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主要技术参数</w:t>
            </w:r>
          </w:p>
        </w:tc>
        <w:tc>
          <w:tcPr>
            <w:tcW w:w="5335" w:type="dxa"/>
            <w:vAlign w:val="center"/>
          </w:tcPr>
          <w:p w14:paraId="607FC81F">
            <w:pPr>
              <w:autoSpaceDE w:val="0"/>
              <w:autoSpaceDN w:val="0"/>
              <w:adjustRightInd w:val="0"/>
              <w:jc w:val="center"/>
              <w:rPr>
                <w:rFonts w:hint="eastAsia" w:ascii="宋体" w:hAnsi="宋体" w:eastAsia="宋体" w:cs="宋体"/>
                <w:szCs w:val="21"/>
              </w:rPr>
            </w:pPr>
          </w:p>
        </w:tc>
      </w:tr>
      <w:tr w14:paraId="54D2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8586" w:type="dxa"/>
            <w:gridSpan w:val="3"/>
            <w:vAlign w:val="center"/>
          </w:tcPr>
          <w:p w14:paraId="5C44C1F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底盘机构:</w:t>
            </w:r>
          </w:p>
        </w:tc>
      </w:tr>
      <w:tr w14:paraId="1C97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8559F5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w:t>
            </w:r>
          </w:p>
        </w:tc>
        <w:tc>
          <w:tcPr>
            <w:tcW w:w="2579" w:type="dxa"/>
            <w:vAlign w:val="center"/>
          </w:tcPr>
          <w:p w14:paraId="47CD884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*底盘发动机功率（KW)</w:t>
            </w:r>
          </w:p>
        </w:tc>
        <w:tc>
          <w:tcPr>
            <w:tcW w:w="5335" w:type="dxa"/>
            <w:vAlign w:val="center"/>
          </w:tcPr>
          <w:p w14:paraId="32F282F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欧马可底盘发动机功率（KW):≥120，排放标准国六。</w:t>
            </w:r>
          </w:p>
        </w:tc>
      </w:tr>
      <w:tr w14:paraId="48E9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03C5157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w:t>
            </w:r>
          </w:p>
        </w:tc>
        <w:tc>
          <w:tcPr>
            <w:tcW w:w="2579" w:type="dxa"/>
            <w:vAlign w:val="center"/>
          </w:tcPr>
          <w:p w14:paraId="3AD5319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*驱动形式</w:t>
            </w:r>
          </w:p>
        </w:tc>
        <w:tc>
          <w:tcPr>
            <w:tcW w:w="5335" w:type="dxa"/>
            <w:vAlign w:val="center"/>
          </w:tcPr>
          <w:p w14:paraId="1FDBA8D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驱动形式为≥4×2</w:t>
            </w:r>
          </w:p>
        </w:tc>
      </w:tr>
      <w:tr w14:paraId="7F12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B68596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3</w:t>
            </w:r>
          </w:p>
        </w:tc>
        <w:tc>
          <w:tcPr>
            <w:tcW w:w="2579" w:type="dxa"/>
            <w:vAlign w:val="center"/>
          </w:tcPr>
          <w:p w14:paraId="2D3B843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最高车速</w:t>
            </w:r>
          </w:p>
        </w:tc>
        <w:tc>
          <w:tcPr>
            <w:tcW w:w="5335" w:type="dxa"/>
            <w:vAlign w:val="center"/>
          </w:tcPr>
          <w:p w14:paraId="5F4BEEB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（KM/h)≥90</w:t>
            </w:r>
          </w:p>
        </w:tc>
      </w:tr>
      <w:tr w14:paraId="7D7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639612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4</w:t>
            </w:r>
          </w:p>
        </w:tc>
        <w:tc>
          <w:tcPr>
            <w:tcW w:w="2579" w:type="dxa"/>
            <w:vAlign w:val="center"/>
          </w:tcPr>
          <w:p w14:paraId="3251F81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*轴距（mm）</w:t>
            </w:r>
          </w:p>
        </w:tc>
        <w:tc>
          <w:tcPr>
            <w:tcW w:w="5335" w:type="dxa"/>
            <w:vAlign w:val="center"/>
          </w:tcPr>
          <w:p w14:paraId="0DA7E7D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≥4700</w:t>
            </w:r>
          </w:p>
        </w:tc>
      </w:tr>
      <w:tr w14:paraId="7D4A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7CDE40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5</w:t>
            </w:r>
          </w:p>
        </w:tc>
        <w:tc>
          <w:tcPr>
            <w:tcW w:w="2579" w:type="dxa"/>
            <w:vAlign w:val="center"/>
          </w:tcPr>
          <w:p w14:paraId="70B1B4F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*轮胎及备胎规格</w:t>
            </w:r>
          </w:p>
        </w:tc>
        <w:tc>
          <w:tcPr>
            <w:tcW w:w="5335" w:type="dxa"/>
            <w:vAlign w:val="center"/>
          </w:tcPr>
          <w:p w14:paraId="6C791C95">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8.25R16LT16PR</w:t>
            </w:r>
          </w:p>
        </w:tc>
      </w:tr>
      <w:tr w14:paraId="6286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2C97A0B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6</w:t>
            </w:r>
          </w:p>
        </w:tc>
        <w:tc>
          <w:tcPr>
            <w:tcW w:w="2579" w:type="dxa"/>
            <w:vAlign w:val="center"/>
          </w:tcPr>
          <w:p w14:paraId="4FFE07D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外廓尺寸</w:t>
            </w:r>
          </w:p>
        </w:tc>
        <w:tc>
          <w:tcPr>
            <w:tcW w:w="5335" w:type="dxa"/>
            <w:vAlign w:val="center"/>
          </w:tcPr>
          <w:p w14:paraId="5F8092A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长×宽×高（mm）：≥8770×2500×2300</w:t>
            </w:r>
          </w:p>
        </w:tc>
      </w:tr>
      <w:tr w14:paraId="5835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8586" w:type="dxa"/>
            <w:gridSpan w:val="3"/>
            <w:vAlign w:val="center"/>
          </w:tcPr>
          <w:p w14:paraId="5259C05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托举机构:</w:t>
            </w:r>
          </w:p>
        </w:tc>
      </w:tr>
      <w:tr w14:paraId="399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D0F6135">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7</w:t>
            </w:r>
          </w:p>
        </w:tc>
        <w:tc>
          <w:tcPr>
            <w:tcW w:w="2579" w:type="dxa"/>
            <w:vAlign w:val="center"/>
          </w:tcPr>
          <w:p w14:paraId="7210F34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上装形式</w:t>
            </w:r>
          </w:p>
        </w:tc>
        <w:tc>
          <w:tcPr>
            <w:tcW w:w="5335" w:type="dxa"/>
            <w:vAlign w:val="center"/>
          </w:tcPr>
          <w:p w14:paraId="0F51365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5T全滑落地平板</w:t>
            </w:r>
          </w:p>
        </w:tc>
      </w:tr>
      <w:tr w14:paraId="51FF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5BE0BB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8</w:t>
            </w:r>
          </w:p>
        </w:tc>
        <w:tc>
          <w:tcPr>
            <w:tcW w:w="2579" w:type="dxa"/>
            <w:vAlign w:val="center"/>
          </w:tcPr>
          <w:p w14:paraId="36D3B1B6">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*最大托牵质量</w:t>
            </w:r>
          </w:p>
        </w:tc>
        <w:tc>
          <w:tcPr>
            <w:tcW w:w="5335" w:type="dxa"/>
            <w:vAlign w:val="center"/>
          </w:tcPr>
          <w:p w14:paraId="72556B3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≥9900kg</w:t>
            </w:r>
          </w:p>
        </w:tc>
      </w:tr>
      <w:tr w14:paraId="3818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7CF76D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9</w:t>
            </w:r>
          </w:p>
        </w:tc>
        <w:tc>
          <w:tcPr>
            <w:tcW w:w="2579" w:type="dxa"/>
            <w:vAlign w:val="center"/>
          </w:tcPr>
          <w:p w14:paraId="4D0E6F98">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*最大托举质量</w:t>
            </w:r>
          </w:p>
        </w:tc>
        <w:tc>
          <w:tcPr>
            <w:tcW w:w="5335" w:type="dxa"/>
            <w:vAlign w:val="center"/>
          </w:tcPr>
          <w:p w14:paraId="3DDBE61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≥3000kg</w:t>
            </w:r>
          </w:p>
        </w:tc>
      </w:tr>
      <w:tr w14:paraId="401D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0DBE4FF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10</w:t>
            </w:r>
          </w:p>
        </w:tc>
        <w:tc>
          <w:tcPr>
            <w:tcW w:w="2579" w:type="dxa"/>
            <w:vAlign w:val="center"/>
          </w:tcPr>
          <w:p w14:paraId="590F722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托臂最大有效长度</w:t>
            </w:r>
          </w:p>
        </w:tc>
        <w:tc>
          <w:tcPr>
            <w:tcW w:w="5335" w:type="dxa"/>
            <w:vAlign w:val="center"/>
          </w:tcPr>
          <w:p w14:paraId="409C1D5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≥1600mm</w:t>
            </w:r>
          </w:p>
        </w:tc>
      </w:tr>
      <w:tr w14:paraId="4C9F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F5170F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11</w:t>
            </w:r>
          </w:p>
        </w:tc>
        <w:tc>
          <w:tcPr>
            <w:tcW w:w="2579" w:type="dxa"/>
            <w:vAlign w:val="center"/>
          </w:tcPr>
          <w:p w14:paraId="32682FF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托臂全伸出最大托举质量</w:t>
            </w:r>
          </w:p>
        </w:tc>
        <w:tc>
          <w:tcPr>
            <w:tcW w:w="5335" w:type="dxa"/>
            <w:vAlign w:val="center"/>
          </w:tcPr>
          <w:p w14:paraId="6203F376">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≥1800 kg</w:t>
            </w:r>
          </w:p>
        </w:tc>
      </w:tr>
      <w:tr w14:paraId="7C77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2B1DF6D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12</w:t>
            </w:r>
          </w:p>
        </w:tc>
        <w:tc>
          <w:tcPr>
            <w:tcW w:w="2579" w:type="dxa"/>
            <w:vAlign w:val="center"/>
          </w:tcPr>
          <w:p w14:paraId="3793B18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全伸出托叉口离地最大距离</w:t>
            </w:r>
          </w:p>
        </w:tc>
        <w:tc>
          <w:tcPr>
            <w:tcW w:w="5335" w:type="dxa"/>
            <w:vAlign w:val="center"/>
          </w:tcPr>
          <w:p w14:paraId="380D976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≥1200mm</w:t>
            </w:r>
          </w:p>
        </w:tc>
      </w:tr>
      <w:tr w14:paraId="031D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7DCF9CB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13</w:t>
            </w:r>
          </w:p>
        </w:tc>
        <w:tc>
          <w:tcPr>
            <w:tcW w:w="2579" w:type="dxa"/>
            <w:vAlign w:val="center"/>
          </w:tcPr>
          <w:p w14:paraId="20BD313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托臂伸缩行程</w:t>
            </w:r>
          </w:p>
        </w:tc>
        <w:tc>
          <w:tcPr>
            <w:tcW w:w="5335" w:type="dxa"/>
            <w:vAlign w:val="center"/>
          </w:tcPr>
          <w:p w14:paraId="1515DF2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≥1250mm</w:t>
            </w:r>
          </w:p>
        </w:tc>
      </w:tr>
      <w:tr w14:paraId="547D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23BAD01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14</w:t>
            </w:r>
          </w:p>
        </w:tc>
        <w:tc>
          <w:tcPr>
            <w:tcW w:w="2579" w:type="dxa"/>
            <w:vAlign w:val="center"/>
          </w:tcPr>
          <w:p w14:paraId="50CCF44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托臂折叠角度（°）</w:t>
            </w:r>
          </w:p>
        </w:tc>
        <w:tc>
          <w:tcPr>
            <w:tcW w:w="5335" w:type="dxa"/>
            <w:vAlign w:val="center"/>
          </w:tcPr>
          <w:p w14:paraId="61C4C31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-15～5</w:t>
            </w:r>
          </w:p>
        </w:tc>
      </w:tr>
      <w:tr w14:paraId="08A8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8586" w:type="dxa"/>
            <w:gridSpan w:val="3"/>
            <w:vAlign w:val="center"/>
          </w:tcPr>
          <w:p w14:paraId="2A6BE7D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平板机构:</w:t>
            </w:r>
          </w:p>
        </w:tc>
      </w:tr>
      <w:tr w14:paraId="6412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2B9E0F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15</w:t>
            </w:r>
          </w:p>
        </w:tc>
        <w:tc>
          <w:tcPr>
            <w:tcW w:w="2579" w:type="dxa"/>
            <w:vAlign w:val="center"/>
          </w:tcPr>
          <w:p w14:paraId="3FF9783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*平板承重质量：</w:t>
            </w:r>
          </w:p>
        </w:tc>
        <w:tc>
          <w:tcPr>
            <w:tcW w:w="5335" w:type="dxa"/>
            <w:vAlign w:val="center"/>
          </w:tcPr>
          <w:p w14:paraId="6084DCA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≥5000kg</w:t>
            </w:r>
          </w:p>
        </w:tc>
      </w:tr>
      <w:tr w14:paraId="434D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62E02D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16</w:t>
            </w:r>
          </w:p>
        </w:tc>
        <w:tc>
          <w:tcPr>
            <w:tcW w:w="2579" w:type="dxa"/>
            <w:vAlign w:val="center"/>
          </w:tcPr>
          <w:p w14:paraId="1E30DF4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*板面形式：</w:t>
            </w:r>
          </w:p>
        </w:tc>
        <w:tc>
          <w:tcPr>
            <w:tcW w:w="5335" w:type="dxa"/>
            <w:vAlign w:val="center"/>
          </w:tcPr>
          <w:p w14:paraId="53F39950">
            <w:pPr>
              <w:autoSpaceDE w:val="0"/>
              <w:autoSpaceDN w:val="0"/>
              <w:adjustRightInd w:val="0"/>
              <w:rPr>
                <w:rFonts w:hint="eastAsia" w:ascii="宋体" w:hAnsi="宋体" w:eastAsia="宋体" w:cs="宋体"/>
                <w:szCs w:val="21"/>
              </w:rPr>
            </w:pPr>
            <w:r>
              <w:rPr>
                <w:rFonts w:hint="eastAsia" w:ascii="宋体" w:hAnsi="宋体" w:eastAsia="宋体" w:cs="宋体"/>
                <w:szCs w:val="21"/>
              </w:rPr>
              <w:t xml:space="preserve">                     冲压板</w:t>
            </w:r>
          </w:p>
        </w:tc>
      </w:tr>
      <w:tr w14:paraId="23CF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0D6AA07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17</w:t>
            </w:r>
          </w:p>
        </w:tc>
        <w:tc>
          <w:tcPr>
            <w:tcW w:w="2579" w:type="dxa"/>
            <w:vAlign w:val="center"/>
          </w:tcPr>
          <w:p w14:paraId="4E9BE65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平板外框规格长×宽</w:t>
            </w:r>
          </w:p>
        </w:tc>
        <w:tc>
          <w:tcPr>
            <w:tcW w:w="5335" w:type="dxa"/>
            <w:vAlign w:val="center"/>
          </w:tcPr>
          <w:p w14:paraId="4DDFF536">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≥6500×2550mm</w:t>
            </w:r>
          </w:p>
        </w:tc>
      </w:tr>
      <w:tr w14:paraId="70A3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8D2FAA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18</w:t>
            </w:r>
          </w:p>
        </w:tc>
        <w:tc>
          <w:tcPr>
            <w:tcW w:w="2579" w:type="dxa"/>
            <w:vAlign w:val="center"/>
          </w:tcPr>
          <w:p w14:paraId="30E712A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平板离地高度</w:t>
            </w:r>
          </w:p>
        </w:tc>
        <w:tc>
          <w:tcPr>
            <w:tcW w:w="5335" w:type="dxa"/>
            <w:vAlign w:val="center"/>
          </w:tcPr>
          <w:p w14:paraId="2BC2F0F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≥1090</w:t>
            </w:r>
            <w:r>
              <w:rPr>
                <w:rFonts w:hint="eastAsia" w:ascii="宋体" w:hAnsi="宋体" w:eastAsia="宋体" w:cs="宋体"/>
                <w:szCs w:val="21"/>
                <w:lang w:val="en-US" w:eastAsia="zh-CN"/>
              </w:rPr>
              <w:t>-</w:t>
            </w:r>
            <w:r>
              <w:rPr>
                <w:rFonts w:hint="eastAsia" w:ascii="宋体" w:hAnsi="宋体" w:eastAsia="宋体" w:cs="宋体"/>
                <w:szCs w:val="21"/>
              </w:rPr>
              <w:t>1210mm</w:t>
            </w:r>
          </w:p>
        </w:tc>
      </w:tr>
      <w:tr w14:paraId="0033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46C03C4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19</w:t>
            </w:r>
          </w:p>
        </w:tc>
        <w:tc>
          <w:tcPr>
            <w:tcW w:w="2579" w:type="dxa"/>
            <w:vAlign w:val="center"/>
          </w:tcPr>
          <w:p w14:paraId="57D5B75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绞盘数量</w:t>
            </w:r>
          </w:p>
        </w:tc>
        <w:tc>
          <w:tcPr>
            <w:tcW w:w="5335" w:type="dxa"/>
            <w:vAlign w:val="center"/>
          </w:tcPr>
          <w:p w14:paraId="3CE6E031">
            <w:pPr>
              <w:jc w:val="center"/>
              <w:rPr>
                <w:rFonts w:hint="eastAsia" w:ascii="宋体" w:hAnsi="宋体" w:eastAsia="宋体" w:cs="宋体"/>
                <w:szCs w:val="21"/>
              </w:rPr>
            </w:pPr>
            <w:r>
              <w:rPr>
                <w:rFonts w:hint="eastAsia" w:ascii="宋体" w:hAnsi="宋体" w:eastAsia="宋体" w:cs="宋体"/>
                <w:szCs w:val="21"/>
              </w:rPr>
              <w:t>1</w:t>
            </w:r>
          </w:p>
        </w:tc>
      </w:tr>
      <w:tr w14:paraId="457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3CEE49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20</w:t>
            </w:r>
          </w:p>
        </w:tc>
        <w:tc>
          <w:tcPr>
            <w:tcW w:w="2579" w:type="dxa"/>
            <w:vAlign w:val="center"/>
          </w:tcPr>
          <w:p w14:paraId="43253E2B">
            <w:pPr>
              <w:autoSpaceDE w:val="0"/>
              <w:autoSpaceDN w:val="0"/>
              <w:adjustRightInd w:val="0"/>
              <w:rPr>
                <w:rFonts w:hint="eastAsia" w:ascii="宋体" w:hAnsi="宋体" w:eastAsia="宋体" w:cs="宋体"/>
                <w:szCs w:val="21"/>
              </w:rPr>
            </w:pPr>
            <w:r>
              <w:rPr>
                <w:rFonts w:hint="eastAsia" w:ascii="宋体" w:hAnsi="宋体" w:eastAsia="宋体" w:cs="宋体"/>
                <w:szCs w:val="21"/>
              </w:rPr>
              <w:t xml:space="preserve">        额定牵引力（KN）</w:t>
            </w:r>
          </w:p>
        </w:tc>
        <w:tc>
          <w:tcPr>
            <w:tcW w:w="5335" w:type="dxa"/>
            <w:vAlign w:val="center"/>
          </w:tcPr>
          <w:p w14:paraId="06CEC567">
            <w:pPr>
              <w:autoSpaceDE w:val="0"/>
              <w:autoSpaceDN w:val="0"/>
              <w:adjustRightInd w:val="0"/>
              <w:rPr>
                <w:rFonts w:hint="eastAsia" w:ascii="宋体" w:hAnsi="宋体" w:eastAsia="宋体" w:cs="宋体"/>
                <w:szCs w:val="21"/>
              </w:rPr>
            </w:pPr>
            <w:r>
              <w:rPr>
                <w:rFonts w:hint="eastAsia" w:ascii="宋体" w:hAnsi="宋体" w:eastAsia="宋体" w:cs="宋体"/>
                <w:szCs w:val="21"/>
              </w:rPr>
              <w:t xml:space="preserve">                        50</w:t>
            </w:r>
          </w:p>
        </w:tc>
      </w:tr>
      <w:tr w14:paraId="588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99C882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21</w:t>
            </w:r>
          </w:p>
        </w:tc>
        <w:tc>
          <w:tcPr>
            <w:tcW w:w="2579" w:type="dxa"/>
            <w:vAlign w:val="center"/>
          </w:tcPr>
          <w:p w14:paraId="251F124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钢丝绳长度</w:t>
            </w:r>
          </w:p>
        </w:tc>
        <w:tc>
          <w:tcPr>
            <w:tcW w:w="5335" w:type="dxa"/>
            <w:vAlign w:val="center"/>
          </w:tcPr>
          <w:p w14:paraId="340C57A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20</w:t>
            </w:r>
          </w:p>
        </w:tc>
      </w:tr>
      <w:tr w14:paraId="1ECF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27683E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22</w:t>
            </w:r>
          </w:p>
        </w:tc>
        <w:tc>
          <w:tcPr>
            <w:tcW w:w="2579" w:type="dxa"/>
            <w:vAlign w:val="center"/>
          </w:tcPr>
          <w:p w14:paraId="27AF0578">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钢丝绳直径</w:t>
            </w:r>
          </w:p>
        </w:tc>
        <w:tc>
          <w:tcPr>
            <w:tcW w:w="5335" w:type="dxa"/>
            <w:vAlign w:val="center"/>
          </w:tcPr>
          <w:p w14:paraId="00718A3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≥10mm</w:t>
            </w:r>
          </w:p>
        </w:tc>
      </w:tr>
      <w:tr w14:paraId="0AD6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7" w:hRule="atLeast"/>
          <w:jc w:val="center"/>
        </w:trPr>
        <w:tc>
          <w:tcPr>
            <w:tcW w:w="672" w:type="dxa"/>
            <w:vAlign w:val="center"/>
          </w:tcPr>
          <w:p w14:paraId="39ED1230">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三</w:t>
            </w:r>
          </w:p>
        </w:tc>
        <w:tc>
          <w:tcPr>
            <w:tcW w:w="2579" w:type="dxa"/>
            <w:vAlign w:val="center"/>
          </w:tcPr>
          <w:p w14:paraId="56DF8F48">
            <w:pPr>
              <w:autoSpaceDE w:val="0"/>
              <w:autoSpaceDN w:val="0"/>
              <w:adjustRightInd w:val="0"/>
              <w:ind w:right="-815" w:rightChars="-388" w:firstLine="945" w:firstLineChars="450"/>
              <w:jc w:val="left"/>
              <w:rPr>
                <w:rFonts w:hint="eastAsia" w:ascii="宋体" w:hAnsi="宋体" w:eastAsia="宋体" w:cs="宋体"/>
                <w:color w:val="auto"/>
                <w:szCs w:val="21"/>
              </w:rPr>
            </w:pPr>
            <w:r>
              <w:rPr>
                <w:rFonts w:hint="eastAsia" w:ascii="宋体" w:hAnsi="宋体" w:eastAsia="宋体" w:cs="宋体"/>
                <w:color w:val="auto"/>
                <w:szCs w:val="21"/>
              </w:rPr>
              <w:t>其他要求</w:t>
            </w:r>
          </w:p>
        </w:tc>
        <w:tc>
          <w:tcPr>
            <w:tcW w:w="5335" w:type="dxa"/>
            <w:vAlign w:val="center"/>
          </w:tcPr>
          <w:p w14:paraId="698E155D">
            <w:pPr>
              <w:pStyle w:val="38"/>
              <w:autoSpaceDE w:val="0"/>
              <w:autoSpaceDN w:val="0"/>
              <w:adjustRightInd w:val="0"/>
              <w:spacing w:line="220" w:lineRule="exact"/>
              <w:ind w:left="360" w:firstLine="0" w:firstLineChars="0"/>
              <w:rPr>
                <w:rFonts w:hint="eastAsia" w:ascii="宋体" w:hAnsi="宋体" w:eastAsia="宋体" w:cs="宋体"/>
                <w:color w:val="auto"/>
                <w:szCs w:val="21"/>
              </w:rPr>
            </w:pPr>
            <w:r>
              <w:rPr>
                <w:rFonts w:hint="eastAsia" w:ascii="宋体" w:hAnsi="宋体" w:eastAsia="宋体" w:cs="宋体"/>
                <w:color w:val="auto"/>
                <w:szCs w:val="21"/>
              </w:rPr>
              <w:t>车身颜色为工程黄色，车身采用整体式、全钢、防锈、抗扭、加固车身；须安装晚间工作时的前后双向灯和车顶LED黄色警报灯，驾驶室内应有收音机等设备，带冷暖空调，座位：≥2；带助力转向装置等。</w:t>
            </w:r>
          </w:p>
        </w:tc>
      </w:tr>
    </w:tbl>
    <w:p w14:paraId="59466338">
      <w:pPr>
        <w:rPr>
          <w:rFonts w:hint="eastAsia" w:ascii="宋体" w:hAnsi="宋体" w:eastAsia="宋体" w:cs="宋体"/>
          <w:color w:val="auto"/>
          <w:szCs w:val="21"/>
        </w:rPr>
      </w:pPr>
      <w:r>
        <w:rPr>
          <w:rFonts w:hint="eastAsia"/>
          <w:color w:val="auto"/>
        </w:rPr>
        <w:t>车辆配置:</w:t>
      </w:r>
      <w:r>
        <w:rPr>
          <w:rFonts w:hint="eastAsia" w:ascii="宋体" w:hAnsi="宋体" w:eastAsia="宋体" w:cs="宋体"/>
          <w:color w:val="auto"/>
          <w:szCs w:val="21"/>
        </w:rPr>
        <w:t xml:space="preserve"> 辅助轮、LED黄色警灯警报器、不锈钢洗手水箱、无线遥控、链钩2套、倒车后视屏</w:t>
      </w:r>
    </w:p>
    <w:p w14:paraId="6C162291">
      <w:pPr>
        <w:rPr>
          <w:rFonts w:hint="eastAsia" w:ascii="宋体" w:hAnsi="宋体" w:eastAsia="宋体" w:cs="宋体"/>
          <w:color w:val="auto"/>
          <w:szCs w:val="21"/>
        </w:rPr>
      </w:pPr>
    </w:p>
    <w:p w14:paraId="2D67CC81">
      <w:pPr>
        <w:rPr>
          <w:color w:val="auto"/>
        </w:rPr>
      </w:pPr>
      <w:r>
        <w:rPr>
          <w:rFonts w:hint="eastAsia" w:ascii="宋体" w:hAnsi="宋体" w:eastAsia="宋体" w:cs="宋体"/>
          <w:color w:val="auto"/>
          <w:szCs w:val="21"/>
        </w:rPr>
        <w:t>车辆保险：交强险及商业保险（含车损险（≥车价）,第三者责任险(300万元)，附加自燃险、人员险20 万元/人×座位数、不计免赔特约）</w:t>
      </w:r>
    </w:p>
    <w:p w14:paraId="4B4CC048">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27552_WPSOffice_Level1"/>
      <w:bookmarkStart w:id="81" w:name="_Toc1914_WPSOffice_Level1"/>
      <w:bookmarkStart w:id="82" w:name="_Toc17394_WPSOffice_Level1"/>
      <w:bookmarkStart w:id="83" w:name="_Toc5145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20076_WPSOffice_Level2"/>
      <w:bookmarkStart w:id="87"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8" w:name="_Toc22351_WPSOffice_Level2"/>
      <w:bookmarkStart w:id="89" w:name="_Toc21974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11424_WPSOffice_Level1"/>
      <w:bookmarkStart w:id="91" w:name="_Toc23368_WPSOffice_Level1"/>
      <w:bookmarkStart w:id="92" w:name="_Toc30529_WPSOffice_Level1"/>
      <w:bookmarkStart w:id="93" w:name="_Toc6353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21229_WPSOffice_Level1"/>
      <w:bookmarkStart w:id="96" w:name="_Toc31927_WPSOffice_Level1"/>
      <w:bookmarkStart w:id="97" w:name="_Toc5317_WPSOffice_Level1"/>
      <w:bookmarkStart w:id="98" w:name="_Toc32729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4728_WPSOffice_Level1"/>
      <w:bookmarkStart w:id="100" w:name="_Toc23356_WPSOffice_Level1"/>
      <w:bookmarkStart w:id="101" w:name="_Toc25965_WPSOffice_Level1"/>
      <w:bookmarkStart w:id="102"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23744_WPSOffice_Level1"/>
      <w:bookmarkStart w:id="104" w:name="_Toc18964_WPSOffice_Level1"/>
      <w:bookmarkStart w:id="105" w:name="_Toc7453_WPSOffice_Level1"/>
      <w:bookmarkStart w:id="106"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1578_WPSOffice_Level1"/>
      <w:bookmarkStart w:id="108" w:name="_Toc23751_WPSOffice_Level1"/>
      <w:bookmarkStart w:id="109" w:name="_Toc9006_WPSOffice_Level1"/>
      <w:bookmarkStart w:id="110" w:name="_Toc19601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24082_WPSOffice_Level1"/>
      <w:bookmarkStart w:id="112" w:name="_Toc31314_WPSOffice_Level1"/>
      <w:bookmarkStart w:id="113" w:name="_Toc12459_WPSOffice_Level1"/>
      <w:bookmarkStart w:id="114"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32648_WPSOffice_Level1"/>
      <w:bookmarkStart w:id="118" w:name="_Toc30273_WPSOffice_Level1"/>
      <w:bookmarkStart w:id="119" w:name="_Toc25804_WPSOffice_Level1"/>
      <w:bookmarkStart w:id="120" w:name="_Toc27403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32152_WPSOffice_Level1"/>
      <w:bookmarkStart w:id="122" w:name="_Toc30234_WPSOffice_Level1"/>
      <w:bookmarkStart w:id="123" w:name="_Toc4051_WPSOffice_Level1"/>
      <w:bookmarkStart w:id="124"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7" w:name="_Toc1687_WPSOffice_Level1"/>
      <w:bookmarkStart w:id="128" w:name="_Toc18312_WPSOffice_Level1"/>
      <w:bookmarkStart w:id="129" w:name="_Toc2765_WPSOffice_Level1"/>
      <w:bookmarkStart w:id="130" w:name="_Toc30031_WPSOffice_Level1"/>
      <w:bookmarkStart w:id="131" w:name="_Toc29399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2" w:name="_Toc8695_WPSOffice_Level1"/>
      <w:bookmarkStart w:id="133" w:name="_Toc32350_WPSOffice_Level1"/>
      <w:bookmarkStart w:id="134" w:name="_Toc12530_WPSOffice_Level1"/>
      <w:bookmarkStart w:id="135" w:name="_Toc18668_WPSOffice_Level1"/>
      <w:bookmarkStart w:id="136" w:name="_Toc14563_WPSOffice_Level1"/>
      <w:r>
        <w:rPr>
          <w:rFonts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7" w:name="_Toc20803_WPSOffice_Level2"/>
      <w:bookmarkStart w:id="138" w:name="_Toc515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39" w:name="_Toc19768_WPSOffice_Level2"/>
      <w:bookmarkStart w:id="140" w:name="_Toc12035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1" w:name="_Toc32085_WPSOffice_Level1"/>
      <w:bookmarkStart w:id="142" w:name="_Toc15186_WPSOffice_Level1"/>
      <w:bookmarkStart w:id="143" w:name="_Toc24530_WPSOffice_Level1"/>
      <w:bookmarkStart w:id="144" w:name="_Toc24567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23545_WPSOffice_Level1"/>
      <w:bookmarkStart w:id="147" w:name="_Toc22815_WPSOffice_Level1"/>
      <w:bookmarkStart w:id="148" w:name="_Toc7738_WPSOffice_Level1"/>
      <w:bookmarkStart w:id="149" w:name="_Toc10436_WPSOffice_Level1"/>
      <w:bookmarkStart w:id="150"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7600_WPSOffice_Level2"/>
      <w:bookmarkStart w:id="152" w:name="_Toc2807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3" w:name="_Toc5072_WPSOffice_Level1"/>
      <w:bookmarkStart w:id="154" w:name="_Toc3772_WPSOffice_Level1"/>
      <w:bookmarkStart w:id="155" w:name="_Toc19004_WPSOffice_Level1"/>
      <w:bookmarkStart w:id="156" w:name="_Toc1452_WPSOffice_Level1"/>
      <w:bookmarkStart w:id="157" w:name="_Toc1854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5403_WPSOffice_Level1"/>
      <w:bookmarkStart w:id="159" w:name="_Toc3893_WPSOffice_Level1"/>
      <w:bookmarkStart w:id="160" w:name="_Toc9267_WPSOffice_Level1"/>
      <w:bookmarkStart w:id="161" w:name="_Toc12019_WPSOffice_Level1"/>
      <w:bookmarkStart w:id="162"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5462C"/>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5F2A2B"/>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55BC4"/>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97598"/>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305121"/>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18F5"/>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1676E"/>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B483C"/>
    <w:rsid w:val="29AC15DA"/>
    <w:rsid w:val="29C849C9"/>
    <w:rsid w:val="29E638F8"/>
    <w:rsid w:val="29EE7EF6"/>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6E7B6E"/>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07BD1"/>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2E25"/>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8ED5241"/>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4E0634"/>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E36A02"/>
    <w:rsid w:val="6BFC2B36"/>
    <w:rsid w:val="6C0356D1"/>
    <w:rsid w:val="6C0861E5"/>
    <w:rsid w:val="6C367616"/>
    <w:rsid w:val="6C7F32C4"/>
    <w:rsid w:val="6C932B17"/>
    <w:rsid w:val="6C94629F"/>
    <w:rsid w:val="6CA51F03"/>
    <w:rsid w:val="6CC462B9"/>
    <w:rsid w:val="6CCE2DDC"/>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9588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3A1408"/>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DE0E8D"/>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DC1B88"/>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List 2"/>
    <w:basedOn w:val="1"/>
    <w:qFormat/>
    <w:uiPriority w:val="0"/>
    <w:pPr>
      <w:ind w:left="100" w:leftChars="200" w:hanging="200" w:hangingChars="200"/>
    </w:pPr>
  </w:style>
  <w:style w:type="paragraph" w:styleId="9">
    <w:name w:val="Balloon Text"/>
    <w:basedOn w:val="1"/>
    <w:link w:val="4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Title"/>
    <w:basedOn w:val="1"/>
    <w:next w:val="1"/>
    <w:autoRedefine/>
    <w:qFormat/>
    <w:uiPriority w:val="0"/>
    <w:pPr>
      <w:jc w:val="center"/>
    </w:pPr>
    <w:rPr>
      <w:sz w:val="30"/>
      <w:szCs w:val="30"/>
    </w:rPr>
  </w:style>
  <w:style w:type="paragraph" w:styleId="14">
    <w:name w:val="Body Text First Indent 2"/>
    <w:basedOn w:val="6"/>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3"/>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1"/>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9"/>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5899</Words>
  <Characters>6402</Characters>
  <Lines>141</Lines>
  <Paragraphs>39</Paragraphs>
  <TotalTime>5</TotalTime>
  <ScaleCrop>false</ScaleCrop>
  <LinksUpToDate>false</LinksUpToDate>
  <CharactersWithSpaces>6634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2025-11-11T02:54:59Z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A6204EA1A734426292E6C281CB87974D_13</vt:lpwstr>
  </property>
  <property fmtid="{D5CDD505-2E9C-101B-9397-08002B2CF9AE}" pid="4" name="KSOTemplateDocerSaveRecord">
    <vt:lpwstr>eyJoZGlkIjoiNmRkMDM2N2M1MmE4MTlhMmQzMmFhZjU2ODc4Zjc3ZGUiLCJ1c2VySWQiOiI5NjA1OTI2NjYifQ==</vt:lpwstr>
  </property>
</Properties>
</file>