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2395F">
      <w:pPr>
        <w:widowControl w:val="0"/>
        <w:rPr>
          <w:rFonts w:ascii="Times New Roman" w:hAnsi="Times New Roman" w:eastAsia="宋体" w:cs="Times New Roman"/>
          <w:b/>
          <w:bCs/>
          <w:color w:val="000000"/>
          <w:kern w:val="0"/>
          <w:sz w:val="36"/>
          <w:szCs w:val="36"/>
          <w:lang w:bidi="ar"/>
        </w:rPr>
      </w:pPr>
      <w:bookmarkStart w:id="251" w:name="_GoBack"/>
      <w:bookmarkEnd w:id="251"/>
    </w:p>
    <w:p w14:paraId="701F8655">
      <w:pPr>
        <w:pStyle w:val="14"/>
        <w:rPr>
          <w:rFonts w:ascii="Times New Roman" w:hAnsi="Times New Roman" w:eastAsia="黑体" w:cs="Times New Roman"/>
          <w:b/>
          <w:bCs/>
        </w:rPr>
      </w:pPr>
    </w:p>
    <w:p w14:paraId="0B879628">
      <w:pPr>
        <w:rPr>
          <w:rFonts w:ascii="Times New Roman" w:hAnsi="Times New Roman" w:cs="Times New Roman"/>
        </w:rPr>
      </w:pPr>
    </w:p>
    <w:p w14:paraId="5ABDD117">
      <w:pPr>
        <w:rPr>
          <w:rFonts w:ascii="Times New Roman" w:hAnsi="Times New Roman" w:cs="Times New Roman"/>
        </w:rPr>
      </w:pPr>
    </w:p>
    <w:p w14:paraId="7FB5912D">
      <w:pPr>
        <w:widowControl w:val="0"/>
        <w:jc w:val="center"/>
        <w:rPr>
          <w:rFonts w:hint="eastAsia" w:ascii="Times New Roman" w:hAnsi="Times New Roman" w:eastAsia="黑体" w:cs="Times New Roman"/>
          <w:color w:val="auto"/>
          <w:sz w:val="44"/>
          <w:szCs w:val="44"/>
          <w:highlight w:val="none"/>
          <w:lang w:eastAsia="zh-CN"/>
        </w:rPr>
      </w:pPr>
      <w:r>
        <w:rPr>
          <w:rFonts w:hint="eastAsia" w:ascii="Times New Roman" w:hAnsi="Times New Roman" w:eastAsia="黑体" w:cs="Times New Roman"/>
          <w:color w:val="auto"/>
          <w:kern w:val="0"/>
          <w:sz w:val="44"/>
          <w:szCs w:val="44"/>
          <w:highlight w:val="none"/>
          <w:lang w:eastAsia="zh-CN" w:bidi="ar"/>
        </w:rPr>
        <w:t>安徽交控工程集团有限公司保险服务项目采购（03标包）</w:t>
      </w:r>
    </w:p>
    <w:p w14:paraId="13CC4008">
      <w:pPr>
        <w:spacing w:line="540" w:lineRule="exact"/>
        <w:jc w:val="center"/>
        <w:rPr>
          <w:rFonts w:ascii="Times New Roman" w:hAnsi="Times New Roman" w:eastAsia="宋体" w:cs="Times New Roman"/>
          <w:color w:val="auto"/>
          <w:szCs w:val="21"/>
          <w:highlight w:val="none"/>
        </w:rPr>
      </w:pPr>
    </w:p>
    <w:p w14:paraId="37BBE609">
      <w:pPr>
        <w:spacing w:line="540" w:lineRule="exact"/>
        <w:jc w:val="center"/>
        <w:rPr>
          <w:rFonts w:ascii="Times New Roman" w:hAnsi="Times New Roman" w:cs="Times New Roman"/>
          <w:b/>
          <w:bCs/>
          <w:color w:val="auto"/>
          <w:szCs w:val="21"/>
          <w:highlight w:val="none"/>
        </w:rPr>
      </w:pPr>
    </w:p>
    <w:p w14:paraId="1F5996BB">
      <w:pPr>
        <w:pStyle w:val="14"/>
        <w:jc w:val="center"/>
        <w:rPr>
          <w:rFonts w:ascii="Times New Roman" w:hAnsi="Times New Roman" w:cs="Times New Roman"/>
          <w:color w:val="auto"/>
          <w:szCs w:val="21"/>
          <w:highlight w:val="none"/>
        </w:rPr>
      </w:pPr>
    </w:p>
    <w:p w14:paraId="69080716">
      <w:pPr>
        <w:pStyle w:val="14"/>
        <w:jc w:val="center"/>
        <w:rPr>
          <w:rFonts w:ascii="Times New Roman" w:hAnsi="Times New Roman" w:cs="Times New Roman"/>
          <w:color w:val="auto"/>
          <w:szCs w:val="21"/>
          <w:highlight w:val="none"/>
        </w:rPr>
      </w:pPr>
    </w:p>
    <w:p w14:paraId="0096E89D">
      <w:pPr>
        <w:pStyle w:val="14"/>
        <w:jc w:val="center"/>
        <w:rPr>
          <w:rFonts w:ascii="Times New Roman" w:hAnsi="Times New Roman" w:cs="Times New Roman"/>
          <w:color w:val="auto"/>
          <w:szCs w:val="21"/>
          <w:highlight w:val="none"/>
        </w:rPr>
      </w:pPr>
    </w:p>
    <w:p w14:paraId="61A12E57">
      <w:pPr>
        <w:pStyle w:val="14"/>
        <w:jc w:val="center"/>
        <w:rPr>
          <w:rFonts w:ascii="Times New Roman" w:hAnsi="Times New Roman" w:cs="Times New Roman"/>
          <w:color w:val="auto"/>
          <w:szCs w:val="21"/>
          <w:highlight w:val="none"/>
        </w:rPr>
      </w:pPr>
    </w:p>
    <w:p w14:paraId="331B3D42">
      <w:pPr>
        <w:jc w:val="center"/>
        <w:rPr>
          <w:rFonts w:ascii="Times New Roman" w:hAnsi="Times New Roman" w:cs="Times New Roman"/>
          <w:color w:val="auto"/>
          <w:highlight w:val="none"/>
        </w:rPr>
      </w:pPr>
    </w:p>
    <w:p w14:paraId="45B9D61A">
      <w:pPr>
        <w:jc w:val="center"/>
        <w:rPr>
          <w:rFonts w:ascii="Times New Roman" w:hAnsi="Times New Roman" w:cs="Times New Roman"/>
          <w:color w:val="auto"/>
          <w:highlight w:val="none"/>
        </w:rPr>
      </w:pPr>
    </w:p>
    <w:p w14:paraId="39AF800F">
      <w:pPr>
        <w:jc w:val="center"/>
        <w:rPr>
          <w:rFonts w:ascii="Times New Roman" w:hAnsi="Times New Roman" w:eastAsia="黑体" w:cs="Times New Roman"/>
          <w:color w:val="auto"/>
          <w:sz w:val="72"/>
          <w:szCs w:val="72"/>
          <w:highlight w:val="none"/>
        </w:rPr>
      </w:pPr>
      <w:r>
        <w:rPr>
          <w:rFonts w:ascii="Times New Roman" w:hAnsi="Times New Roman" w:eastAsia="黑体" w:cs="Times New Roman"/>
          <w:color w:val="auto"/>
          <w:sz w:val="72"/>
          <w:szCs w:val="72"/>
          <w:highlight w:val="none"/>
        </w:rPr>
        <w:t>询 比 文 件</w:t>
      </w:r>
    </w:p>
    <w:p w14:paraId="558524FA">
      <w:pPr>
        <w:spacing w:line="540" w:lineRule="exact"/>
        <w:ind w:firstLine="0"/>
        <w:jc w:val="center"/>
        <w:rPr>
          <w:rFonts w:ascii="Times New Roman" w:hAnsi="Times New Roman" w:cs="Times New Roman"/>
          <w:color w:val="auto"/>
          <w:szCs w:val="21"/>
          <w:highlight w:val="none"/>
        </w:rPr>
      </w:pPr>
    </w:p>
    <w:p w14:paraId="04A09AF1">
      <w:pPr>
        <w:spacing w:line="540" w:lineRule="exact"/>
        <w:jc w:val="center"/>
        <w:rPr>
          <w:rFonts w:ascii="Times New Roman" w:hAnsi="Times New Roman" w:cs="Times New Roman"/>
          <w:color w:val="auto"/>
          <w:szCs w:val="21"/>
          <w:highlight w:val="none"/>
        </w:rPr>
      </w:pPr>
    </w:p>
    <w:p w14:paraId="770FC01D">
      <w:pPr>
        <w:spacing w:line="540" w:lineRule="exact"/>
        <w:ind w:firstLine="0"/>
        <w:jc w:val="center"/>
        <w:rPr>
          <w:rFonts w:ascii="Times New Roman" w:hAnsi="Times New Roman" w:cs="Times New Roman"/>
          <w:color w:val="auto"/>
          <w:szCs w:val="21"/>
          <w:highlight w:val="none"/>
        </w:rPr>
      </w:pPr>
    </w:p>
    <w:p w14:paraId="2F83195C">
      <w:pPr>
        <w:spacing w:line="540" w:lineRule="exact"/>
        <w:jc w:val="center"/>
        <w:rPr>
          <w:rFonts w:ascii="Times New Roman" w:hAnsi="Times New Roman" w:cs="Times New Roman"/>
          <w:color w:val="auto"/>
          <w:szCs w:val="21"/>
          <w:highlight w:val="none"/>
        </w:rPr>
      </w:pPr>
    </w:p>
    <w:p w14:paraId="63ED2497">
      <w:pPr>
        <w:spacing w:line="540" w:lineRule="exact"/>
        <w:ind w:firstLine="0"/>
        <w:jc w:val="center"/>
        <w:rPr>
          <w:rFonts w:ascii="Times New Roman" w:hAnsi="Times New Roman" w:cs="Times New Roman"/>
          <w:color w:val="auto"/>
          <w:szCs w:val="21"/>
          <w:highlight w:val="none"/>
        </w:rPr>
      </w:pPr>
    </w:p>
    <w:p w14:paraId="4446EB7B">
      <w:pPr>
        <w:snapToGrid w:val="0"/>
        <w:jc w:val="center"/>
        <w:rPr>
          <w:rFonts w:ascii="Times New Roman" w:hAnsi="Times New Roman" w:eastAsia="黑体" w:cs="Times New Roman"/>
          <w:color w:val="auto"/>
          <w:sz w:val="32"/>
          <w:szCs w:val="32"/>
          <w:highlight w:val="none"/>
        </w:rPr>
      </w:pPr>
    </w:p>
    <w:p w14:paraId="5B3F010F">
      <w:pPr>
        <w:snapToGrid w:val="0"/>
        <w:jc w:val="center"/>
        <w:rPr>
          <w:rFonts w:ascii="Times New Roman" w:hAnsi="Times New Roman" w:eastAsia="黑体" w:cs="Times New Roman"/>
          <w:color w:val="auto"/>
          <w:sz w:val="32"/>
          <w:szCs w:val="32"/>
          <w:highlight w:val="none"/>
        </w:rPr>
      </w:pPr>
    </w:p>
    <w:p w14:paraId="14DAF943">
      <w:pPr>
        <w:snapToGrid w:val="0"/>
        <w:jc w:val="center"/>
        <w:rPr>
          <w:rFonts w:ascii="Times New Roman" w:hAnsi="Times New Roman" w:eastAsia="黑体" w:cs="Times New Roman"/>
          <w:color w:val="auto"/>
          <w:sz w:val="32"/>
          <w:szCs w:val="32"/>
          <w:highlight w:val="none"/>
        </w:rPr>
      </w:pPr>
    </w:p>
    <w:p w14:paraId="43960164">
      <w:pPr>
        <w:snapToGrid w:val="0"/>
        <w:ind w:firstLine="0" w:firstLineChars="0"/>
        <w:jc w:val="center"/>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t>采购人：安徽皖运保险代理有限公司</w:t>
      </w:r>
    </w:p>
    <w:p w14:paraId="3BA31636">
      <w:pPr>
        <w:snapToGrid w:val="0"/>
        <w:jc w:val="center"/>
        <w:rPr>
          <w:rFonts w:ascii="Times New Roman" w:hAnsi="Times New Roman" w:eastAsia="黑体" w:cs="Times New Roman"/>
          <w:color w:val="auto"/>
          <w:sz w:val="36"/>
          <w:szCs w:val="36"/>
          <w:highlight w:val="none"/>
        </w:rPr>
      </w:pPr>
      <w:r>
        <w:rPr>
          <w:rFonts w:hint="eastAsia" w:ascii="Times New Roman" w:hAnsi="Times New Roman" w:eastAsia="黑体" w:cs="Times New Roman"/>
          <w:color w:val="auto"/>
          <w:sz w:val="36"/>
          <w:szCs w:val="36"/>
          <w:highlight w:val="none"/>
          <w:lang w:val="en-US" w:eastAsia="zh-CN"/>
        </w:rPr>
        <w:t xml:space="preserve">        </w:t>
      </w:r>
      <w:r>
        <w:rPr>
          <w:rFonts w:hint="default" w:ascii="Times New Roman" w:hAnsi="Times New Roman" w:eastAsia="黑体" w:cs="Times New Roman"/>
          <w:color w:val="auto"/>
          <w:sz w:val="36"/>
          <w:szCs w:val="36"/>
          <w:highlight w:val="none"/>
        </w:rPr>
        <w:t>安徽交控工程集团有限公司</w:t>
      </w:r>
    </w:p>
    <w:p w14:paraId="3E74A504">
      <w:pPr>
        <w:tabs>
          <w:tab w:val="left" w:pos="6743"/>
        </w:tabs>
        <w:snapToGrid w:val="0"/>
        <w:ind w:left="1896" w:leftChars="903"/>
        <w:jc w:val="center"/>
        <w:rPr>
          <w:rFonts w:hint="eastAsia" w:ascii="Times New Roman" w:hAnsi="Times New Roman" w:cs="Times New Roman" w:eastAsiaTheme="minorEastAsia"/>
          <w:color w:val="auto"/>
          <w:sz w:val="36"/>
          <w:szCs w:val="36"/>
          <w:highlight w:val="none"/>
          <w:lang w:eastAsia="zh-CN"/>
        </w:rPr>
      </w:pPr>
    </w:p>
    <w:p w14:paraId="475A7ED8">
      <w:pPr>
        <w:snapToGrid w:val="0"/>
        <w:jc w:val="center"/>
        <w:rPr>
          <w:rFonts w:ascii="Times New Roman" w:hAnsi="Times New Roman" w:eastAsia="黑体" w:cs="Times New Roman"/>
          <w:color w:val="auto"/>
          <w:sz w:val="36"/>
          <w:szCs w:val="36"/>
          <w:highlight w:val="none"/>
        </w:rPr>
      </w:pPr>
      <w:r>
        <w:rPr>
          <w:rFonts w:hint="eastAsia" w:ascii="Times New Roman" w:hAnsi="Times New Roman" w:eastAsia="黑体" w:cs="Times New Roman"/>
          <w:color w:val="auto"/>
          <w:sz w:val="36"/>
          <w:szCs w:val="36"/>
          <w:highlight w:val="none"/>
          <w:lang w:eastAsia="zh-CN"/>
        </w:rPr>
        <w:t>2026</w:t>
      </w:r>
      <w:r>
        <w:rPr>
          <w:rFonts w:ascii="Times New Roman" w:hAnsi="Times New Roman" w:eastAsia="黑体" w:cs="Times New Roman"/>
          <w:color w:val="auto"/>
          <w:sz w:val="36"/>
          <w:szCs w:val="36"/>
          <w:highlight w:val="none"/>
        </w:rPr>
        <w:t>年</w:t>
      </w:r>
      <w:r>
        <w:rPr>
          <w:rFonts w:hint="eastAsia" w:ascii="Times New Roman" w:hAnsi="Times New Roman" w:eastAsia="黑体" w:cs="Times New Roman"/>
          <w:color w:val="auto"/>
          <w:sz w:val="36"/>
          <w:szCs w:val="36"/>
          <w:highlight w:val="none"/>
          <w:lang w:val="en-US" w:eastAsia="zh-CN"/>
        </w:rPr>
        <w:t>5</w:t>
      </w:r>
      <w:r>
        <w:rPr>
          <w:rFonts w:ascii="Times New Roman" w:hAnsi="Times New Roman" w:eastAsia="黑体" w:cs="Times New Roman"/>
          <w:color w:val="auto"/>
          <w:sz w:val="36"/>
          <w:szCs w:val="36"/>
          <w:highlight w:val="none"/>
        </w:rPr>
        <w:t>月</w:t>
      </w:r>
    </w:p>
    <w:p w14:paraId="01A5D8D7">
      <w:pPr>
        <w:pStyle w:val="30"/>
        <w:rPr>
          <w:rFonts w:ascii="Times New Roman" w:hAnsi="Times New Roman" w:cs="Times New Roman"/>
          <w:color w:val="auto"/>
          <w:sz w:val="22"/>
          <w:szCs w:val="28"/>
          <w:highlight w:val="none"/>
        </w:rPr>
      </w:pPr>
    </w:p>
    <w:sdt>
      <w:sdtPr>
        <w:rPr>
          <w:rFonts w:ascii="Times New Roman" w:hAnsi="Times New Roman" w:eastAsia="宋体" w:cs="Times New Roman"/>
          <w:color w:val="auto"/>
          <w:sz w:val="44"/>
          <w:szCs w:val="44"/>
          <w:highlight w:val="none"/>
        </w:rPr>
        <w:id w:val="147462226"/>
        <w:docPartObj>
          <w:docPartGallery w:val="Table of Contents"/>
          <w:docPartUnique/>
        </w:docPartObj>
      </w:sdtPr>
      <w:sdtEndPr>
        <w:rPr>
          <w:rFonts w:ascii="Times New Roman" w:hAnsi="Times New Roman" w:eastAsia="宋体" w:cs="Times New Roman"/>
          <w:color w:val="auto"/>
          <w:sz w:val="44"/>
          <w:szCs w:val="44"/>
          <w:highlight w:val="none"/>
        </w:rPr>
      </w:sdtEndPr>
      <w:sdtContent>
        <w:p w14:paraId="0236C5BF">
          <w:pPr>
            <w:jc w:val="center"/>
            <w:rPr>
              <w:rFonts w:ascii="Times New Roman" w:hAnsi="Times New Roman" w:eastAsia="宋体" w:cs="Times New Roman"/>
              <w:color w:val="auto"/>
              <w:sz w:val="44"/>
              <w:szCs w:val="44"/>
              <w:highlight w:val="none"/>
            </w:rPr>
          </w:pPr>
        </w:p>
        <w:p w14:paraId="1468D208">
          <w:pPr>
            <w:jc w:val="center"/>
            <w:rPr>
              <w:rFonts w:ascii="Times New Roman" w:hAnsi="Times New Roman" w:eastAsia="宋体" w:cs="Times New Roman"/>
              <w:color w:val="auto"/>
              <w:sz w:val="44"/>
              <w:szCs w:val="44"/>
              <w:highlight w:val="none"/>
            </w:rPr>
            <w:sectPr>
              <w:footerReference r:id="rId3"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p w14:paraId="0B297C4D">
          <w:pPr>
            <w:jc w:val="center"/>
            <w:rPr>
              <w:rFonts w:ascii="Times New Roman" w:hAnsi="Times New Roman" w:eastAsia="黑体" w:cs="Times New Roman"/>
              <w:b/>
              <w:bCs/>
              <w:color w:val="auto"/>
              <w:sz w:val="52"/>
              <w:szCs w:val="52"/>
              <w:highlight w:val="none"/>
            </w:rPr>
          </w:pPr>
          <w:r>
            <w:rPr>
              <w:rFonts w:ascii="Times New Roman" w:hAnsi="Times New Roman" w:eastAsia="黑体" w:cs="Times New Roman"/>
              <w:b/>
              <w:bCs/>
              <w:color w:val="auto"/>
              <w:sz w:val="52"/>
              <w:szCs w:val="52"/>
              <w:highlight w:val="none"/>
            </w:rPr>
            <w:t>目  录</w:t>
          </w:r>
        </w:p>
        <w:p w14:paraId="631CB6CD">
          <w:pPr>
            <w:rPr>
              <w:rFonts w:ascii="Times New Roman" w:hAnsi="Times New Roman" w:cs="Times New Roman"/>
              <w:color w:val="auto"/>
              <w:highlight w:val="none"/>
            </w:rPr>
          </w:pPr>
        </w:p>
        <w:p w14:paraId="0BAA3DF2">
          <w:pPr>
            <w:pStyle w:val="23"/>
            <w:tabs>
              <w:tab w:val="right" w:leader="dot" w:pos="8312"/>
            </w:tabs>
            <w:rPr>
              <w:rFonts w:ascii="Times New Roman" w:hAnsi="Times New Roman" w:cs="Times New Roman"/>
              <w:b w:val="0"/>
              <w:bCs w:val="0"/>
              <w:color w:val="auto"/>
              <w:sz w:val="32"/>
              <w:szCs w:val="32"/>
              <w:highlight w:val="none"/>
            </w:rPr>
          </w:pP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TOC \o "1-1" \h \u </w:instrText>
          </w:r>
          <w:r>
            <w:rPr>
              <w:rFonts w:ascii="Times New Roman" w:hAnsi="Times New Roman" w:eastAsia="宋体" w:cs="Times New Roman"/>
              <w:color w:val="auto"/>
              <w:highlight w:val="none"/>
            </w:rPr>
            <w:fldChar w:fldCharType="separate"/>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"_Toc8853" </w:instrText>
          </w:r>
          <w:r>
            <w:rPr>
              <w:rFonts w:ascii="Times New Roman" w:hAnsi="Times New Roman" w:cs="Times New Roman"/>
              <w:color w:val="auto"/>
              <w:highlight w:val="none"/>
            </w:rPr>
            <w:fldChar w:fldCharType="separate"/>
          </w:r>
          <w:r>
            <w:rPr>
              <w:rFonts w:ascii="Times New Roman" w:hAnsi="Times New Roman" w:eastAsia="黑体" w:cs="Times New Roman"/>
              <w:b w:val="0"/>
              <w:bCs w:val="0"/>
              <w:color w:val="auto"/>
              <w:kern w:val="44"/>
              <w:sz w:val="32"/>
              <w:szCs w:val="32"/>
              <w:highlight w:val="none"/>
            </w:rPr>
            <w:t xml:space="preserve">第一章 </w:t>
          </w:r>
          <w:r>
            <w:rPr>
              <w:rFonts w:ascii="Times New Roman" w:hAnsi="Times New Roman" w:eastAsia="黑体" w:cs="Times New Roman"/>
              <w:b w:val="0"/>
              <w:bCs w:val="0"/>
              <w:color w:val="auto"/>
              <w:sz w:val="32"/>
              <w:szCs w:val="32"/>
              <w:highlight w:val="none"/>
            </w:rPr>
            <w:t>询比邀请书</w:t>
          </w:r>
          <w:r>
            <w:rPr>
              <w:rFonts w:ascii="Times New Roman" w:hAnsi="Times New Roman" w:cs="Times New Roman"/>
              <w:b w:val="0"/>
              <w:bCs w:val="0"/>
              <w:color w:val="auto"/>
              <w:sz w:val="32"/>
              <w:szCs w:val="32"/>
              <w:highlight w:val="none"/>
            </w:rPr>
            <w:tab/>
          </w:r>
          <w:r>
            <w:rPr>
              <w:rFonts w:ascii="Times New Roman" w:hAnsi="Times New Roman" w:cs="Times New Roman"/>
              <w:b w:val="0"/>
              <w:bCs w:val="0"/>
              <w:color w:val="auto"/>
              <w:sz w:val="32"/>
              <w:szCs w:val="32"/>
              <w:highlight w:val="none"/>
            </w:rPr>
            <w:fldChar w:fldCharType="begin"/>
          </w:r>
          <w:r>
            <w:rPr>
              <w:rFonts w:ascii="Times New Roman" w:hAnsi="Times New Roman" w:cs="Times New Roman"/>
              <w:b w:val="0"/>
              <w:bCs w:val="0"/>
              <w:color w:val="auto"/>
              <w:sz w:val="32"/>
              <w:szCs w:val="32"/>
              <w:highlight w:val="none"/>
            </w:rPr>
            <w:instrText xml:space="preserve"> PAGEREF _Toc8853 \h </w:instrText>
          </w:r>
          <w:r>
            <w:rPr>
              <w:rFonts w:ascii="Times New Roman" w:hAnsi="Times New Roman" w:cs="Times New Roman"/>
              <w:b w:val="0"/>
              <w:bCs w:val="0"/>
              <w:color w:val="auto"/>
              <w:sz w:val="32"/>
              <w:szCs w:val="32"/>
              <w:highlight w:val="none"/>
            </w:rPr>
            <w:fldChar w:fldCharType="separate"/>
          </w:r>
          <w:r>
            <w:rPr>
              <w:rFonts w:ascii="Times New Roman" w:hAnsi="Times New Roman" w:cs="Times New Roman"/>
              <w:b w:val="0"/>
              <w:bCs w:val="0"/>
              <w:color w:val="auto"/>
              <w:sz w:val="32"/>
              <w:szCs w:val="32"/>
              <w:highlight w:val="none"/>
            </w:rPr>
            <w:t>1</w:t>
          </w:r>
          <w:r>
            <w:rPr>
              <w:rFonts w:ascii="Times New Roman" w:hAnsi="Times New Roman" w:cs="Times New Roman"/>
              <w:b w:val="0"/>
              <w:bCs w:val="0"/>
              <w:color w:val="auto"/>
              <w:sz w:val="32"/>
              <w:szCs w:val="32"/>
              <w:highlight w:val="none"/>
            </w:rPr>
            <w:fldChar w:fldCharType="end"/>
          </w:r>
          <w:r>
            <w:rPr>
              <w:rFonts w:ascii="Times New Roman" w:hAnsi="Times New Roman" w:cs="Times New Roman"/>
              <w:b w:val="0"/>
              <w:bCs w:val="0"/>
              <w:color w:val="auto"/>
              <w:sz w:val="32"/>
              <w:szCs w:val="32"/>
              <w:highlight w:val="none"/>
            </w:rPr>
            <w:fldChar w:fldCharType="end"/>
          </w:r>
        </w:p>
        <w:p w14:paraId="0ACD994E">
          <w:pPr>
            <w:pStyle w:val="23"/>
            <w:tabs>
              <w:tab w:val="right" w:leader="dot" w:pos="8312"/>
            </w:tabs>
            <w:rPr>
              <w:rFonts w:ascii="Times New Roman" w:hAnsi="Times New Roman" w:cs="Times New Roman"/>
              <w:b w:val="0"/>
              <w:bCs w:val="0"/>
              <w:color w:val="auto"/>
              <w:sz w:val="32"/>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"_Toc13658" </w:instrText>
          </w:r>
          <w:r>
            <w:rPr>
              <w:rFonts w:ascii="Times New Roman" w:hAnsi="Times New Roman" w:cs="Times New Roman"/>
              <w:color w:val="auto"/>
              <w:highlight w:val="none"/>
            </w:rPr>
            <w:fldChar w:fldCharType="separate"/>
          </w:r>
          <w:r>
            <w:rPr>
              <w:rFonts w:ascii="Times New Roman" w:hAnsi="Times New Roman" w:eastAsia="黑体" w:cs="Times New Roman"/>
              <w:b w:val="0"/>
              <w:bCs w:val="0"/>
              <w:color w:val="auto"/>
              <w:sz w:val="32"/>
              <w:szCs w:val="32"/>
              <w:highlight w:val="none"/>
            </w:rPr>
            <w:t xml:space="preserve">第二章 </w:t>
          </w:r>
          <w:r>
            <w:rPr>
              <w:rFonts w:hint="eastAsia" w:ascii="Times New Roman" w:hAnsi="Times New Roman" w:eastAsia="黑体" w:cs="Times New Roman"/>
              <w:b w:val="0"/>
              <w:bCs w:val="0"/>
              <w:color w:val="auto"/>
              <w:sz w:val="32"/>
              <w:szCs w:val="32"/>
              <w:highlight w:val="none"/>
              <w:lang w:eastAsia="zh-CN"/>
            </w:rPr>
            <w:t>服务商</w:t>
          </w:r>
          <w:r>
            <w:rPr>
              <w:rFonts w:ascii="Times New Roman" w:hAnsi="Times New Roman" w:eastAsia="黑体" w:cs="Times New Roman"/>
              <w:b w:val="0"/>
              <w:bCs w:val="0"/>
              <w:color w:val="auto"/>
              <w:sz w:val="32"/>
              <w:szCs w:val="32"/>
              <w:highlight w:val="none"/>
            </w:rPr>
            <w:t>须知</w:t>
          </w:r>
          <w:r>
            <w:rPr>
              <w:rFonts w:ascii="Times New Roman" w:hAnsi="Times New Roman" w:cs="Times New Roman"/>
              <w:b w:val="0"/>
              <w:bCs w:val="0"/>
              <w:color w:val="auto"/>
              <w:sz w:val="32"/>
              <w:szCs w:val="32"/>
              <w:highlight w:val="none"/>
            </w:rPr>
            <w:tab/>
          </w:r>
          <w:r>
            <w:rPr>
              <w:rFonts w:ascii="Times New Roman" w:hAnsi="Times New Roman" w:cs="Times New Roman"/>
              <w:b w:val="0"/>
              <w:bCs w:val="0"/>
              <w:color w:val="auto"/>
              <w:sz w:val="32"/>
              <w:szCs w:val="32"/>
              <w:highlight w:val="none"/>
            </w:rPr>
            <w:fldChar w:fldCharType="begin"/>
          </w:r>
          <w:r>
            <w:rPr>
              <w:rFonts w:ascii="Times New Roman" w:hAnsi="Times New Roman" w:cs="Times New Roman"/>
              <w:b w:val="0"/>
              <w:bCs w:val="0"/>
              <w:color w:val="auto"/>
              <w:sz w:val="32"/>
              <w:szCs w:val="32"/>
              <w:highlight w:val="none"/>
            </w:rPr>
            <w:instrText xml:space="preserve"> PAGEREF _Toc13658 \h </w:instrText>
          </w:r>
          <w:r>
            <w:rPr>
              <w:rFonts w:ascii="Times New Roman" w:hAnsi="Times New Roman" w:cs="Times New Roman"/>
              <w:b w:val="0"/>
              <w:bCs w:val="0"/>
              <w:color w:val="auto"/>
              <w:sz w:val="32"/>
              <w:szCs w:val="32"/>
              <w:highlight w:val="none"/>
            </w:rPr>
            <w:fldChar w:fldCharType="separate"/>
          </w:r>
          <w:r>
            <w:rPr>
              <w:rFonts w:ascii="Times New Roman" w:hAnsi="Times New Roman" w:cs="Times New Roman"/>
              <w:b w:val="0"/>
              <w:bCs w:val="0"/>
              <w:color w:val="auto"/>
              <w:sz w:val="32"/>
              <w:szCs w:val="32"/>
              <w:highlight w:val="none"/>
            </w:rPr>
            <w:t>6</w:t>
          </w:r>
          <w:r>
            <w:rPr>
              <w:rFonts w:ascii="Times New Roman" w:hAnsi="Times New Roman" w:cs="Times New Roman"/>
              <w:b w:val="0"/>
              <w:bCs w:val="0"/>
              <w:color w:val="auto"/>
              <w:sz w:val="32"/>
              <w:szCs w:val="32"/>
              <w:highlight w:val="none"/>
            </w:rPr>
            <w:fldChar w:fldCharType="end"/>
          </w:r>
          <w:r>
            <w:rPr>
              <w:rFonts w:ascii="Times New Roman" w:hAnsi="Times New Roman" w:cs="Times New Roman"/>
              <w:b w:val="0"/>
              <w:bCs w:val="0"/>
              <w:color w:val="auto"/>
              <w:sz w:val="32"/>
              <w:szCs w:val="32"/>
              <w:highlight w:val="none"/>
            </w:rPr>
            <w:fldChar w:fldCharType="end"/>
          </w:r>
        </w:p>
        <w:p w14:paraId="0A941D28">
          <w:pPr>
            <w:pStyle w:val="23"/>
            <w:tabs>
              <w:tab w:val="right" w:leader="dot" w:pos="8312"/>
            </w:tabs>
            <w:rPr>
              <w:rFonts w:ascii="Times New Roman" w:hAnsi="Times New Roman" w:cs="Times New Roman"/>
              <w:b w:val="0"/>
              <w:bCs w:val="0"/>
              <w:color w:val="auto"/>
              <w:sz w:val="32"/>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"_Toc9903" </w:instrText>
          </w:r>
          <w:r>
            <w:rPr>
              <w:rFonts w:ascii="Times New Roman" w:hAnsi="Times New Roman" w:cs="Times New Roman"/>
              <w:color w:val="auto"/>
              <w:highlight w:val="none"/>
            </w:rPr>
            <w:fldChar w:fldCharType="separate"/>
          </w:r>
          <w:r>
            <w:rPr>
              <w:rFonts w:ascii="Times New Roman" w:hAnsi="Times New Roman" w:eastAsia="黑体" w:cs="Times New Roman"/>
              <w:b w:val="0"/>
              <w:bCs w:val="0"/>
              <w:color w:val="auto"/>
              <w:sz w:val="32"/>
              <w:szCs w:val="32"/>
              <w:highlight w:val="none"/>
            </w:rPr>
            <w:t>第三章 评审办法</w:t>
          </w:r>
          <w:r>
            <w:rPr>
              <w:rFonts w:ascii="Times New Roman" w:hAnsi="Times New Roman" w:cs="Times New Roman"/>
              <w:b w:val="0"/>
              <w:bCs w:val="0"/>
              <w:color w:val="auto"/>
              <w:sz w:val="32"/>
              <w:szCs w:val="32"/>
              <w:highlight w:val="none"/>
            </w:rPr>
            <w:tab/>
          </w:r>
          <w:r>
            <w:rPr>
              <w:rFonts w:ascii="Times New Roman" w:hAnsi="Times New Roman" w:cs="Times New Roman"/>
              <w:b w:val="0"/>
              <w:bCs w:val="0"/>
              <w:color w:val="auto"/>
              <w:sz w:val="32"/>
              <w:szCs w:val="32"/>
              <w:highlight w:val="none"/>
            </w:rPr>
            <w:fldChar w:fldCharType="begin"/>
          </w:r>
          <w:r>
            <w:rPr>
              <w:rFonts w:ascii="Times New Roman" w:hAnsi="Times New Roman" w:cs="Times New Roman"/>
              <w:b w:val="0"/>
              <w:bCs w:val="0"/>
              <w:color w:val="auto"/>
              <w:sz w:val="32"/>
              <w:szCs w:val="32"/>
              <w:highlight w:val="none"/>
            </w:rPr>
            <w:instrText xml:space="preserve"> PAGEREF _Toc9903 \h </w:instrText>
          </w:r>
          <w:r>
            <w:rPr>
              <w:rFonts w:ascii="Times New Roman" w:hAnsi="Times New Roman" w:cs="Times New Roman"/>
              <w:b w:val="0"/>
              <w:bCs w:val="0"/>
              <w:color w:val="auto"/>
              <w:sz w:val="32"/>
              <w:szCs w:val="32"/>
              <w:highlight w:val="none"/>
            </w:rPr>
            <w:fldChar w:fldCharType="separate"/>
          </w:r>
          <w:r>
            <w:rPr>
              <w:rFonts w:ascii="Times New Roman" w:hAnsi="Times New Roman" w:cs="Times New Roman"/>
              <w:b w:val="0"/>
              <w:bCs w:val="0"/>
              <w:color w:val="auto"/>
              <w:sz w:val="32"/>
              <w:szCs w:val="32"/>
              <w:highlight w:val="none"/>
            </w:rPr>
            <w:t>13</w:t>
          </w:r>
          <w:r>
            <w:rPr>
              <w:rFonts w:ascii="Times New Roman" w:hAnsi="Times New Roman" w:cs="Times New Roman"/>
              <w:b w:val="0"/>
              <w:bCs w:val="0"/>
              <w:color w:val="auto"/>
              <w:sz w:val="32"/>
              <w:szCs w:val="32"/>
              <w:highlight w:val="none"/>
            </w:rPr>
            <w:fldChar w:fldCharType="end"/>
          </w:r>
          <w:r>
            <w:rPr>
              <w:rFonts w:ascii="Times New Roman" w:hAnsi="Times New Roman" w:cs="Times New Roman"/>
              <w:b w:val="0"/>
              <w:bCs w:val="0"/>
              <w:color w:val="auto"/>
              <w:sz w:val="32"/>
              <w:szCs w:val="32"/>
              <w:highlight w:val="none"/>
            </w:rPr>
            <w:fldChar w:fldCharType="end"/>
          </w:r>
        </w:p>
        <w:p w14:paraId="286785E5">
          <w:pPr>
            <w:pStyle w:val="23"/>
            <w:tabs>
              <w:tab w:val="right" w:leader="dot" w:pos="8312"/>
            </w:tabs>
            <w:rPr>
              <w:rFonts w:ascii="Times New Roman" w:hAnsi="Times New Roman" w:cs="Times New Roman"/>
              <w:b w:val="0"/>
              <w:bCs w:val="0"/>
              <w:color w:val="auto"/>
              <w:sz w:val="32"/>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"_Toc17392" </w:instrText>
          </w:r>
          <w:r>
            <w:rPr>
              <w:rFonts w:ascii="Times New Roman" w:hAnsi="Times New Roman" w:cs="Times New Roman"/>
              <w:color w:val="auto"/>
              <w:highlight w:val="none"/>
            </w:rPr>
            <w:fldChar w:fldCharType="separate"/>
          </w:r>
          <w:r>
            <w:rPr>
              <w:rFonts w:ascii="Times New Roman" w:hAnsi="Times New Roman" w:eastAsia="黑体" w:cs="Times New Roman"/>
              <w:b w:val="0"/>
              <w:bCs w:val="0"/>
              <w:color w:val="auto"/>
              <w:kern w:val="44"/>
              <w:sz w:val="32"/>
              <w:szCs w:val="32"/>
              <w:highlight w:val="none"/>
            </w:rPr>
            <w:t xml:space="preserve">第四章 </w:t>
          </w:r>
          <w:r>
            <w:rPr>
              <w:rFonts w:ascii="Times New Roman" w:hAnsi="Times New Roman" w:eastAsia="黑体" w:cs="Times New Roman"/>
              <w:b w:val="0"/>
              <w:bCs w:val="0"/>
              <w:color w:val="auto"/>
              <w:sz w:val="32"/>
              <w:szCs w:val="32"/>
              <w:highlight w:val="none"/>
            </w:rPr>
            <w:t>合同内容及条款</w:t>
          </w:r>
          <w:r>
            <w:rPr>
              <w:rFonts w:ascii="Times New Roman" w:hAnsi="Times New Roman" w:cs="Times New Roman"/>
              <w:b w:val="0"/>
              <w:bCs w:val="0"/>
              <w:color w:val="auto"/>
              <w:sz w:val="32"/>
              <w:szCs w:val="32"/>
              <w:highlight w:val="none"/>
            </w:rPr>
            <w:tab/>
          </w:r>
          <w:r>
            <w:rPr>
              <w:rFonts w:ascii="Times New Roman" w:hAnsi="Times New Roman" w:cs="Times New Roman"/>
              <w:b w:val="0"/>
              <w:bCs w:val="0"/>
              <w:color w:val="auto"/>
              <w:sz w:val="32"/>
              <w:szCs w:val="32"/>
              <w:highlight w:val="none"/>
            </w:rPr>
            <w:fldChar w:fldCharType="begin"/>
          </w:r>
          <w:r>
            <w:rPr>
              <w:rFonts w:ascii="Times New Roman" w:hAnsi="Times New Roman" w:cs="Times New Roman"/>
              <w:b w:val="0"/>
              <w:bCs w:val="0"/>
              <w:color w:val="auto"/>
              <w:sz w:val="32"/>
              <w:szCs w:val="32"/>
              <w:highlight w:val="none"/>
            </w:rPr>
            <w:instrText xml:space="preserve"> PAGEREF _Toc17392 \h </w:instrText>
          </w:r>
          <w:r>
            <w:rPr>
              <w:rFonts w:ascii="Times New Roman" w:hAnsi="Times New Roman" w:cs="Times New Roman"/>
              <w:b w:val="0"/>
              <w:bCs w:val="0"/>
              <w:color w:val="auto"/>
              <w:sz w:val="32"/>
              <w:szCs w:val="32"/>
              <w:highlight w:val="none"/>
            </w:rPr>
            <w:fldChar w:fldCharType="separate"/>
          </w:r>
          <w:r>
            <w:rPr>
              <w:rFonts w:ascii="Times New Roman" w:hAnsi="Times New Roman" w:cs="Times New Roman"/>
              <w:b w:val="0"/>
              <w:bCs w:val="0"/>
              <w:color w:val="auto"/>
              <w:sz w:val="32"/>
              <w:szCs w:val="32"/>
              <w:highlight w:val="none"/>
            </w:rPr>
            <w:t>17</w:t>
          </w:r>
          <w:r>
            <w:rPr>
              <w:rFonts w:ascii="Times New Roman" w:hAnsi="Times New Roman" w:cs="Times New Roman"/>
              <w:b w:val="0"/>
              <w:bCs w:val="0"/>
              <w:color w:val="auto"/>
              <w:sz w:val="32"/>
              <w:szCs w:val="32"/>
              <w:highlight w:val="none"/>
            </w:rPr>
            <w:fldChar w:fldCharType="end"/>
          </w:r>
          <w:r>
            <w:rPr>
              <w:rFonts w:ascii="Times New Roman" w:hAnsi="Times New Roman" w:cs="Times New Roman"/>
              <w:b w:val="0"/>
              <w:bCs w:val="0"/>
              <w:color w:val="auto"/>
              <w:sz w:val="32"/>
              <w:szCs w:val="32"/>
              <w:highlight w:val="none"/>
            </w:rPr>
            <w:fldChar w:fldCharType="end"/>
          </w:r>
        </w:p>
        <w:p w14:paraId="7D3C1B59">
          <w:pPr>
            <w:pStyle w:val="23"/>
            <w:tabs>
              <w:tab w:val="right" w:leader="dot" w:pos="8312"/>
            </w:tabs>
            <w:rPr>
              <w:rFonts w:ascii="Times New Roman" w:hAnsi="Times New Roman" w:cs="Times New Roman"/>
              <w:b w:val="0"/>
              <w:bCs w:val="0"/>
              <w:color w:val="auto"/>
              <w:sz w:val="32"/>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"_Toc3554" </w:instrText>
          </w:r>
          <w:r>
            <w:rPr>
              <w:rFonts w:ascii="Times New Roman" w:hAnsi="Times New Roman" w:cs="Times New Roman"/>
              <w:color w:val="auto"/>
              <w:highlight w:val="none"/>
            </w:rPr>
            <w:fldChar w:fldCharType="separate"/>
          </w:r>
          <w:r>
            <w:rPr>
              <w:rFonts w:ascii="Times New Roman" w:hAnsi="Times New Roman" w:eastAsia="黑体" w:cs="Times New Roman"/>
              <w:b w:val="0"/>
              <w:bCs w:val="0"/>
              <w:color w:val="auto"/>
              <w:kern w:val="44"/>
              <w:sz w:val="32"/>
              <w:szCs w:val="32"/>
              <w:highlight w:val="none"/>
            </w:rPr>
            <w:t xml:space="preserve">第五章 </w:t>
          </w:r>
          <w:r>
            <w:rPr>
              <w:rFonts w:ascii="Times New Roman" w:hAnsi="Times New Roman" w:eastAsia="黑体" w:cs="Times New Roman"/>
              <w:b w:val="0"/>
              <w:bCs w:val="0"/>
              <w:color w:val="auto"/>
              <w:sz w:val="32"/>
              <w:szCs w:val="32"/>
              <w:highlight w:val="none"/>
            </w:rPr>
            <w:t>采购需求及清单</w:t>
          </w:r>
          <w:r>
            <w:rPr>
              <w:rFonts w:ascii="Times New Roman" w:hAnsi="Times New Roman" w:cs="Times New Roman"/>
              <w:b w:val="0"/>
              <w:bCs w:val="0"/>
              <w:color w:val="auto"/>
              <w:sz w:val="32"/>
              <w:szCs w:val="32"/>
              <w:highlight w:val="none"/>
            </w:rPr>
            <w:tab/>
          </w:r>
          <w:r>
            <w:rPr>
              <w:rFonts w:ascii="Times New Roman" w:hAnsi="Times New Roman" w:cs="Times New Roman"/>
              <w:b w:val="0"/>
              <w:bCs w:val="0"/>
              <w:color w:val="auto"/>
              <w:sz w:val="32"/>
              <w:szCs w:val="32"/>
              <w:highlight w:val="none"/>
            </w:rPr>
            <w:fldChar w:fldCharType="begin"/>
          </w:r>
          <w:r>
            <w:rPr>
              <w:rFonts w:ascii="Times New Roman" w:hAnsi="Times New Roman" w:cs="Times New Roman"/>
              <w:b w:val="0"/>
              <w:bCs w:val="0"/>
              <w:color w:val="auto"/>
              <w:sz w:val="32"/>
              <w:szCs w:val="32"/>
              <w:highlight w:val="none"/>
            </w:rPr>
            <w:instrText xml:space="preserve"> PAGEREF _Toc3554 \h </w:instrText>
          </w:r>
          <w:r>
            <w:rPr>
              <w:rFonts w:ascii="Times New Roman" w:hAnsi="Times New Roman" w:cs="Times New Roman"/>
              <w:b w:val="0"/>
              <w:bCs w:val="0"/>
              <w:color w:val="auto"/>
              <w:sz w:val="32"/>
              <w:szCs w:val="32"/>
              <w:highlight w:val="none"/>
            </w:rPr>
            <w:fldChar w:fldCharType="separate"/>
          </w:r>
          <w:r>
            <w:rPr>
              <w:rFonts w:ascii="Times New Roman" w:hAnsi="Times New Roman" w:cs="Times New Roman"/>
              <w:b w:val="0"/>
              <w:bCs w:val="0"/>
              <w:color w:val="auto"/>
              <w:sz w:val="32"/>
              <w:szCs w:val="32"/>
              <w:highlight w:val="none"/>
            </w:rPr>
            <w:t>26</w:t>
          </w:r>
          <w:r>
            <w:rPr>
              <w:rFonts w:ascii="Times New Roman" w:hAnsi="Times New Roman" w:cs="Times New Roman"/>
              <w:b w:val="0"/>
              <w:bCs w:val="0"/>
              <w:color w:val="auto"/>
              <w:sz w:val="32"/>
              <w:szCs w:val="32"/>
              <w:highlight w:val="none"/>
            </w:rPr>
            <w:fldChar w:fldCharType="end"/>
          </w:r>
          <w:r>
            <w:rPr>
              <w:rFonts w:ascii="Times New Roman" w:hAnsi="Times New Roman" w:cs="Times New Roman"/>
              <w:b w:val="0"/>
              <w:bCs w:val="0"/>
              <w:color w:val="auto"/>
              <w:sz w:val="32"/>
              <w:szCs w:val="32"/>
              <w:highlight w:val="none"/>
            </w:rPr>
            <w:fldChar w:fldCharType="end"/>
          </w:r>
        </w:p>
        <w:p w14:paraId="04E4D725">
          <w:pPr>
            <w:pStyle w:val="23"/>
            <w:tabs>
              <w:tab w:val="right" w:leader="dot" w:pos="8312"/>
            </w:tabs>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"_Toc10911" </w:instrText>
          </w:r>
          <w:r>
            <w:rPr>
              <w:rFonts w:ascii="Times New Roman" w:hAnsi="Times New Roman" w:cs="Times New Roman"/>
              <w:color w:val="auto"/>
              <w:highlight w:val="none"/>
            </w:rPr>
            <w:fldChar w:fldCharType="separate"/>
          </w:r>
          <w:r>
            <w:rPr>
              <w:rFonts w:ascii="Times New Roman" w:hAnsi="Times New Roman" w:eastAsia="黑体" w:cs="Times New Roman"/>
              <w:b w:val="0"/>
              <w:bCs w:val="0"/>
              <w:color w:val="auto"/>
              <w:kern w:val="44"/>
              <w:sz w:val="32"/>
              <w:szCs w:val="32"/>
              <w:highlight w:val="none"/>
            </w:rPr>
            <w:t xml:space="preserve">第六章 </w:t>
          </w:r>
          <w:r>
            <w:rPr>
              <w:rFonts w:ascii="Times New Roman" w:hAnsi="Times New Roman" w:eastAsia="黑体" w:cs="Times New Roman"/>
              <w:b w:val="0"/>
              <w:bCs w:val="0"/>
              <w:color w:val="auto"/>
              <w:sz w:val="32"/>
              <w:szCs w:val="32"/>
              <w:highlight w:val="none"/>
            </w:rPr>
            <w:t>响应文件格式</w:t>
          </w:r>
          <w:r>
            <w:rPr>
              <w:rFonts w:ascii="Times New Roman" w:hAnsi="Times New Roman" w:cs="Times New Roman"/>
              <w:b w:val="0"/>
              <w:bCs w:val="0"/>
              <w:color w:val="auto"/>
              <w:sz w:val="32"/>
              <w:szCs w:val="32"/>
              <w:highlight w:val="none"/>
            </w:rPr>
            <w:tab/>
          </w:r>
          <w:r>
            <w:rPr>
              <w:rFonts w:ascii="Times New Roman" w:hAnsi="Times New Roman" w:cs="Times New Roman"/>
              <w:b w:val="0"/>
              <w:bCs w:val="0"/>
              <w:color w:val="auto"/>
              <w:sz w:val="32"/>
              <w:szCs w:val="32"/>
              <w:highlight w:val="none"/>
            </w:rPr>
            <w:fldChar w:fldCharType="begin"/>
          </w:r>
          <w:r>
            <w:rPr>
              <w:rFonts w:ascii="Times New Roman" w:hAnsi="Times New Roman" w:cs="Times New Roman"/>
              <w:b w:val="0"/>
              <w:bCs w:val="0"/>
              <w:color w:val="auto"/>
              <w:sz w:val="32"/>
              <w:szCs w:val="32"/>
              <w:highlight w:val="none"/>
            </w:rPr>
            <w:instrText xml:space="preserve"> PAGEREF _Toc10911 \h </w:instrText>
          </w:r>
          <w:r>
            <w:rPr>
              <w:rFonts w:ascii="Times New Roman" w:hAnsi="Times New Roman" w:cs="Times New Roman"/>
              <w:b w:val="0"/>
              <w:bCs w:val="0"/>
              <w:color w:val="auto"/>
              <w:sz w:val="32"/>
              <w:szCs w:val="32"/>
              <w:highlight w:val="none"/>
            </w:rPr>
            <w:fldChar w:fldCharType="separate"/>
          </w:r>
          <w:r>
            <w:rPr>
              <w:rFonts w:ascii="Times New Roman" w:hAnsi="Times New Roman" w:cs="Times New Roman"/>
              <w:b w:val="0"/>
              <w:bCs w:val="0"/>
              <w:color w:val="auto"/>
              <w:sz w:val="32"/>
              <w:szCs w:val="32"/>
              <w:highlight w:val="none"/>
            </w:rPr>
            <w:t>32</w:t>
          </w:r>
          <w:r>
            <w:rPr>
              <w:rFonts w:ascii="Times New Roman" w:hAnsi="Times New Roman" w:cs="Times New Roman"/>
              <w:b w:val="0"/>
              <w:bCs w:val="0"/>
              <w:color w:val="auto"/>
              <w:sz w:val="32"/>
              <w:szCs w:val="32"/>
              <w:highlight w:val="none"/>
            </w:rPr>
            <w:fldChar w:fldCharType="end"/>
          </w:r>
          <w:r>
            <w:rPr>
              <w:rFonts w:ascii="Times New Roman" w:hAnsi="Times New Roman" w:cs="Times New Roman"/>
              <w:b w:val="0"/>
              <w:bCs w:val="0"/>
              <w:color w:val="auto"/>
              <w:sz w:val="32"/>
              <w:szCs w:val="32"/>
              <w:highlight w:val="none"/>
            </w:rPr>
            <w:fldChar w:fldCharType="end"/>
          </w:r>
          <w:r>
            <w:rPr>
              <w:rFonts w:ascii="Times New Roman" w:hAnsi="Times New Roman" w:eastAsia="宋体" w:cs="Times New Roman"/>
              <w:color w:val="auto"/>
              <w:highlight w:val="none"/>
            </w:rPr>
            <w:fldChar w:fldCharType="end"/>
          </w:r>
        </w:p>
      </w:sdtContent>
    </w:sdt>
    <w:p w14:paraId="06B7F951">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highlight w:val="none"/>
        </w:rPr>
      </w:pPr>
      <w:bookmarkStart w:id="0" w:name="_Toc8853"/>
      <w:r>
        <w:rPr>
          <w:rFonts w:ascii="Times New Roman" w:hAnsi="Times New Roman" w:eastAsia="黑体" w:cs="Times New Roman"/>
          <w:b w:val="0"/>
          <w:bCs w:val="0"/>
          <w:color w:val="auto"/>
          <w:highlight w:val="none"/>
        </w:rPr>
        <w:t>第一章 询比邀请书</w:t>
      </w:r>
      <w:bookmarkEnd w:id="0"/>
    </w:p>
    <w:p w14:paraId="43AE090A">
      <w:pPr>
        <w:keepNext w:val="0"/>
        <w:snapToGrid w:val="0"/>
        <w:spacing w:line="540" w:lineRule="exact"/>
        <w:ind w:firstLine="0" w:firstLineChars="0"/>
        <w:jc w:val="left"/>
        <w:outlineLvl w:val="1"/>
        <w:rPr>
          <w:rFonts w:hint="eastAsia" w:asciiTheme="minorEastAsia" w:hAnsiTheme="minorEastAsia" w:cstheme="minorEastAsia"/>
          <w:b/>
          <w:bCs/>
          <w:color w:val="auto"/>
          <w:sz w:val="28"/>
          <w:szCs w:val="28"/>
          <w:highlight w:val="none"/>
          <w:lang w:eastAsia="zh-CN"/>
        </w:rPr>
      </w:pPr>
      <w:r>
        <w:rPr>
          <w:rFonts w:hint="eastAsia" w:asciiTheme="minorEastAsia" w:hAnsiTheme="minorEastAsia" w:cstheme="minorEastAsia"/>
          <w:b/>
          <w:bCs/>
          <w:color w:val="auto"/>
          <w:sz w:val="28"/>
          <w:szCs w:val="28"/>
          <w:highlight w:val="none"/>
        </w:rPr>
        <w:t>致：</w:t>
      </w:r>
      <w:r>
        <w:rPr>
          <w:rFonts w:hint="eastAsia" w:asciiTheme="minorEastAsia" w:hAnsiTheme="minorEastAsia" w:cstheme="minorEastAsia"/>
          <w:b/>
          <w:bCs/>
          <w:color w:val="auto"/>
          <w:sz w:val="28"/>
          <w:szCs w:val="28"/>
          <w:highlight w:val="none"/>
          <w:lang w:val="en-US" w:eastAsia="zh-CN"/>
        </w:rPr>
        <w:t>各</w:t>
      </w:r>
      <w:r>
        <w:rPr>
          <w:rFonts w:hint="eastAsia" w:asciiTheme="minorEastAsia" w:hAnsiTheme="minorEastAsia" w:cstheme="minorEastAsia"/>
          <w:b/>
          <w:bCs/>
          <w:color w:val="auto"/>
          <w:sz w:val="28"/>
          <w:szCs w:val="28"/>
          <w:highlight w:val="none"/>
        </w:rPr>
        <w:t>保险</w:t>
      </w:r>
      <w:r>
        <w:rPr>
          <w:rFonts w:hint="eastAsia" w:asciiTheme="minorEastAsia" w:hAnsiTheme="minorEastAsia" w:cstheme="minorEastAsia"/>
          <w:b/>
          <w:bCs/>
          <w:color w:val="auto"/>
          <w:sz w:val="28"/>
          <w:szCs w:val="28"/>
          <w:highlight w:val="none"/>
          <w:lang w:eastAsia="zh-CN"/>
        </w:rPr>
        <w:t>服务商</w:t>
      </w:r>
    </w:p>
    <w:p w14:paraId="301BCC3B">
      <w:pPr>
        <w:spacing w:line="540" w:lineRule="exact"/>
        <w:ind w:firstLine="562"/>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贵单位已被我公司邀请参加</w:t>
      </w:r>
      <w:r>
        <w:rPr>
          <w:rFonts w:hint="eastAsia" w:asciiTheme="minorEastAsia" w:hAnsiTheme="minorEastAsia" w:cstheme="minorEastAsia"/>
          <w:color w:val="auto"/>
          <w:sz w:val="28"/>
          <w:szCs w:val="28"/>
          <w:highlight w:val="none"/>
        </w:rPr>
        <w:t>安徽交控工程集团有限公司保险服务项目采购（</w:t>
      </w:r>
      <w:r>
        <w:rPr>
          <w:rFonts w:hint="eastAsia" w:asciiTheme="minorEastAsia" w:hAnsiTheme="minorEastAsia" w:cstheme="minorEastAsia"/>
          <w:color w:val="auto"/>
          <w:sz w:val="28"/>
          <w:szCs w:val="28"/>
          <w:highlight w:val="none"/>
          <w:lang w:eastAsia="zh-CN"/>
        </w:rPr>
        <w:t>03标包</w:t>
      </w:r>
      <w:r>
        <w:rPr>
          <w:rFonts w:hint="eastAsia" w:asciiTheme="minorEastAsia" w:hAnsiTheme="minorEastAsia" w:cstheme="minorEastAsia"/>
          <w:color w:val="auto"/>
          <w:sz w:val="28"/>
          <w:szCs w:val="28"/>
          <w:highlight w:val="none"/>
        </w:rPr>
        <w:t>）</w:t>
      </w:r>
      <w:r>
        <w:rPr>
          <w:rFonts w:hint="eastAsia" w:asciiTheme="minorEastAsia" w:hAnsiTheme="minorEastAsia" w:eastAsiaTheme="minorEastAsia" w:cstheme="minorEastAsia"/>
          <w:b w:val="0"/>
          <w:color w:val="auto"/>
          <w:kern w:val="2"/>
          <w:sz w:val="28"/>
          <w:szCs w:val="28"/>
          <w:highlight w:val="none"/>
          <w:u w:val="none"/>
          <w:lang w:val="en-US" w:eastAsia="zh-CN" w:bidi="ar-SA"/>
        </w:rPr>
        <w:t>项目</w:t>
      </w:r>
      <w:r>
        <w:rPr>
          <w:rFonts w:hint="eastAsia" w:asciiTheme="minorEastAsia" w:hAnsiTheme="minorEastAsia" w:eastAsiaTheme="minorEastAsia" w:cstheme="minorEastAsia"/>
          <w:color w:val="auto"/>
          <w:kern w:val="2"/>
          <w:sz w:val="28"/>
          <w:szCs w:val="28"/>
          <w:highlight w:val="none"/>
          <w:lang w:val="en-US" w:eastAsia="zh-CN" w:bidi="ar-SA"/>
        </w:rPr>
        <w:t>询价，请仔细阅读该询价</w:t>
      </w:r>
      <w:r>
        <w:rPr>
          <w:rFonts w:hint="eastAsia" w:asciiTheme="minorEastAsia" w:hAnsiTheme="minorEastAsia" w:cstheme="minorEastAsia"/>
          <w:color w:val="auto"/>
          <w:kern w:val="2"/>
          <w:sz w:val="28"/>
          <w:szCs w:val="28"/>
          <w:highlight w:val="none"/>
          <w:lang w:val="en-US" w:eastAsia="zh-CN" w:bidi="ar-SA"/>
        </w:rPr>
        <w:t>通知</w:t>
      </w:r>
      <w:r>
        <w:rPr>
          <w:rFonts w:hint="eastAsia" w:asciiTheme="minorEastAsia" w:hAnsiTheme="minorEastAsia" w:eastAsiaTheme="minorEastAsia" w:cstheme="minorEastAsia"/>
          <w:color w:val="auto"/>
          <w:kern w:val="2"/>
          <w:sz w:val="28"/>
          <w:szCs w:val="28"/>
          <w:highlight w:val="none"/>
          <w:lang w:val="en-US" w:eastAsia="zh-CN" w:bidi="ar-SA"/>
        </w:rPr>
        <w:t>书，并按照该询价</w:t>
      </w:r>
      <w:r>
        <w:rPr>
          <w:rFonts w:hint="eastAsia" w:asciiTheme="minorEastAsia" w:hAnsiTheme="minorEastAsia" w:cstheme="minorEastAsia"/>
          <w:color w:val="auto"/>
          <w:kern w:val="2"/>
          <w:sz w:val="28"/>
          <w:szCs w:val="28"/>
          <w:highlight w:val="none"/>
          <w:lang w:val="en-US" w:eastAsia="zh-CN" w:bidi="ar-SA"/>
        </w:rPr>
        <w:t>通知</w:t>
      </w:r>
      <w:r>
        <w:rPr>
          <w:rFonts w:hint="eastAsia" w:asciiTheme="minorEastAsia" w:hAnsiTheme="minorEastAsia" w:eastAsiaTheme="minorEastAsia" w:cstheme="minorEastAsia"/>
          <w:color w:val="auto"/>
          <w:kern w:val="2"/>
          <w:sz w:val="28"/>
          <w:szCs w:val="28"/>
          <w:highlight w:val="none"/>
          <w:lang w:val="en-US" w:eastAsia="zh-CN" w:bidi="ar-SA"/>
        </w:rPr>
        <w:t>书要求进行报价。</w:t>
      </w:r>
    </w:p>
    <w:p w14:paraId="5B2584CC">
      <w:pPr>
        <w:pStyle w:val="3"/>
        <w:keepNext w:val="0"/>
        <w:keepLines w:val="0"/>
        <w:numPr>
          <w:ilvl w:val="0"/>
          <w:numId w:val="2"/>
        </w:numPr>
        <w:snapToGrid w:val="0"/>
        <w:spacing w:line="540" w:lineRule="exact"/>
        <w:ind w:left="0" w:firstLine="562" w:firstLineChars="200"/>
        <w:jc w:val="left"/>
        <w:rPr>
          <w:rFonts w:hint="eastAsia" w:asciiTheme="minorEastAsia" w:hAnsiTheme="minorEastAsia" w:eastAsiaTheme="minorEastAsia" w:cstheme="minorEastAsia"/>
          <w:bCs w:val="0"/>
          <w:color w:val="auto"/>
          <w:szCs w:val="28"/>
          <w:highlight w:val="none"/>
        </w:rPr>
      </w:pPr>
      <w:bookmarkStart w:id="1" w:name="_Toc525632585"/>
      <w:bookmarkStart w:id="2" w:name="_Toc4489_WPSOffice_Level2"/>
      <w:bookmarkStart w:id="3" w:name="_Toc13871"/>
      <w:bookmarkStart w:id="4" w:name="_Toc10395_WPSOffice_Level2"/>
      <w:bookmarkStart w:id="5" w:name="_Toc6496_WPSOffice_Level2"/>
      <w:bookmarkStart w:id="6" w:name="_Toc24354_WPSOffice_Level2"/>
      <w:bookmarkStart w:id="7" w:name="_Toc12765"/>
      <w:r>
        <w:rPr>
          <w:rFonts w:hint="eastAsia" w:asciiTheme="minorEastAsia" w:hAnsiTheme="minorEastAsia" w:eastAsiaTheme="minorEastAsia" w:cstheme="minorEastAsia"/>
          <w:bCs w:val="0"/>
          <w:color w:val="auto"/>
          <w:szCs w:val="28"/>
          <w:highlight w:val="none"/>
        </w:rPr>
        <w:t>项目简介</w:t>
      </w:r>
      <w:bookmarkEnd w:id="1"/>
      <w:bookmarkEnd w:id="2"/>
      <w:bookmarkEnd w:id="3"/>
      <w:bookmarkEnd w:id="4"/>
      <w:bookmarkEnd w:id="5"/>
      <w:bookmarkEnd w:id="6"/>
      <w:bookmarkEnd w:id="7"/>
    </w:p>
    <w:p w14:paraId="43646269">
      <w:pPr>
        <w:keepNext w:val="0"/>
        <w:spacing w:line="54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1.1 项目名称：</w:t>
      </w:r>
      <w:r>
        <w:rPr>
          <w:rFonts w:hint="eastAsia" w:asciiTheme="minorEastAsia" w:hAnsiTheme="minorEastAsia" w:cstheme="minorEastAsia"/>
          <w:color w:val="auto"/>
          <w:kern w:val="0"/>
          <w:sz w:val="28"/>
          <w:szCs w:val="28"/>
          <w:highlight w:val="none"/>
          <w:lang w:eastAsia="zh-CN"/>
        </w:rPr>
        <w:t>安徽交控工程集团有限公司保险服务项目采购（03标包）</w:t>
      </w:r>
      <w:r>
        <w:rPr>
          <w:rFonts w:hint="eastAsia" w:asciiTheme="minorEastAsia" w:hAnsiTheme="minorEastAsia" w:cstheme="minorEastAsia"/>
          <w:color w:val="auto"/>
          <w:sz w:val="28"/>
          <w:szCs w:val="28"/>
          <w:highlight w:val="none"/>
        </w:rPr>
        <w:t>。</w:t>
      </w:r>
    </w:p>
    <w:p w14:paraId="4806CC66">
      <w:pPr>
        <w:keepNext w:val="0"/>
        <w:spacing w:line="54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1.2 采购人：</w:t>
      </w:r>
      <w:r>
        <w:rPr>
          <w:rFonts w:hint="eastAsia" w:asciiTheme="minorEastAsia" w:hAnsiTheme="minorEastAsia" w:cstheme="minorEastAsia"/>
          <w:color w:val="auto"/>
          <w:sz w:val="28"/>
          <w:szCs w:val="28"/>
          <w:highlight w:val="none"/>
        </w:rPr>
        <w:t>安徽皖运保险代理有限公司</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cstheme="minorEastAsia"/>
          <w:color w:val="auto"/>
          <w:sz w:val="28"/>
          <w:szCs w:val="28"/>
          <w:highlight w:val="none"/>
        </w:rPr>
        <w:t>安徽交控工程集团有限公司。</w:t>
      </w:r>
    </w:p>
    <w:p w14:paraId="7A06F42E">
      <w:pPr>
        <w:keepNext w:val="0"/>
        <w:spacing w:line="54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1.3 项目概况：</w:t>
      </w:r>
      <w:r>
        <w:rPr>
          <w:rFonts w:hint="eastAsia" w:asciiTheme="minorEastAsia" w:hAnsiTheme="minorEastAsia" w:cstheme="minorEastAsia"/>
          <w:color w:val="auto"/>
          <w:sz w:val="28"/>
          <w:szCs w:val="28"/>
          <w:highlight w:val="none"/>
        </w:rPr>
        <w:t>安徽交控工程集团有限公司拟采购：</w:t>
      </w:r>
      <w:r>
        <w:rPr>
          <w:rFonts w:hint="eastAsia" w:asciiTheme="minorEastAsia" w:hAnsiTheme="minorEastAsia" w:cstheme="minorEastAsia"/>
          <w:color w:val="auto"/>
          <w:kern w:val="0"/>
          <w:sz w:val="28"/>
          <w:szCs w:val="28"/>
          <w:highlight w:val="none"/>
        </w:rPr>
        <w:t>建筑工程一切险及第三者责任险、建工团意险、建工安责险、建工雇主险（或建工安责险附加雇主责任）保险服务项目。本次采购采用</w:t>
      </w:r>
      <w:r>
        <w:rPr>
          <w:rFonts w:hint="eastAsia" w:asciiTheme="minorEastAsia" w:hAnsiTheme="minorEastAsia" w:cstheme="minorEastAsia"/>
          <w:color w:val="auto"/>
          <w:kern w:val="0"/>
          <w:sz w:val="28"/>
          <w:szCs w:val="28"/>
          <w:highlight w:val="none"/>
          <w:lang w:eastAsia="zh-CN"/>
        </w:rPr>
        <w:t>1年+1年模式</w:t>
      </w:r>
      <w:r>
        <w:rPr>
          <w:rFonts w:hint="eastAsia" w:asciiTheme="minorEastAsia" w:hAnsiTheme="minorEastAsia" w:cstheme="minorEastAsia"/>
          <w:color w:val="auto"/>
          <w:kern w:val="0"/>
          <w:sz w:val="28"/>
          <w:szCs w:val="28"/>
          <w:highlight w:val="none"/>
        </w:rPr>
        <w:t>，</w:t>
      </w:r>
      <w:r>
        <w:rPr>
          <w:rFonts w:hint="eastAsia" w:asciiTheme="minorEastAsia" w:hAnsiTheme="minorEastAsia" w:cstheme="minorEastAsia"/>
          <w:color w:val="auto"/>
          <w:sz w:val="28"/>
          <w:szCs w:val="28"/>
          <w:highlight w:val="none"/>
        </w:rPr>
        <w:t>服务期限为合同签订之日起1年，对于首次年度评价为良好及以上等次的可续签1年，每年度评价为合格及以下等次的不再续签。</w:t>
      </w:r>
      <w:r>
        <w:rPr>
          <w:rFonts w:hint="eastAsia" w:asciiTheme="minorEastAsia" w:hAnsiTheme="minorEastAsia" w:cstheme="minorEastAsia"/>
          <w:color w:val="auto"/>
          <w:kern w:val="0"/>
          <w:sz w:val="28"/>
          <w:szCs w:val="28"/>
          <w:highlight w:val="none"/>
        </w:rPr>
        <w:t>本次保险采购旨在完善安全管理体系，进一步提高施工企业抗安全风险能力。</w:t>
      </w:r>
    </w:p>
    <w:p w14:paraId="1C695F3E">
      <w:pPr>
        <w:keepNext w:val="0"/>
        <w:spacing w:line="5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sz w:val="28"/>
          <w:szCs w:val="28"/>
          <w:highlight w:val="none"/>
        </w:rPr>
        <w:t xml:space="preserve">1.3.1 </w:t>
      </w:r>
      <w:r>
        <w:rPr>
          <w:rFonts w:hint="eastAsia" w:asciiTheme="minorEastAsia" w:hAnsiTheme="minorEastAsia" w:cstheme="minorEastAsia"/>
          <w:color w:val="auto"/>
          <w:kern w:val="0"/>
          <w:sz w:val="28"/>
          <w:szCs w:val="28"/>
          <w:highlight w:val="none"/>
          <w:lang w:eastAsia="zh-CN"/>
        </w:rPr>
        <w:t>安徽交控工程集团有限公司</w:t>
      </w:r>
      <w:r>
        <w:rPr>
          <w:rFonts w:hint="eastAsia" w:asciiTheme="minorEastAsia" w:hAnsiTheme="minorEastAsia" w:cstheme="minorEastAsia"/>
          <w:color w:val="auto"/>
          <w:kern w:val="0"/>
          <w:sz w:val="28"/>
          <w:szCs w:val="28"/>
          <w:highlight w:val="none"/>
        </w:rPr>
        <w:t>承保项目涉及工程类型：养护、修复工程（包括道路养护、桥涵养护类、涉水工程等）；隧道工程、桥梁工程、道路工程、机电工程、交安工程、绿化工程、预制工程、钢结构工程、光伏工程等；</w:t>
      </w:r>
      <w:r>
        <w:rPr>
          <w:rFonts w:hint="eastAsia" w:asciiTheme="minorEastAsia" w:hAnsiTheme="minorEastAsia" w:cstheme="minorEastAsia"/>
          <w:b/>
          <w:bCs/>
          <w:color w:val="auto"/>
          <w:kern w:val="0"/>
          <w:sz w:val="28"/>
          <w:szCs w:val="28"/>
          <w:highlight w:val="none"/>
        </w:rPr>
        <w:t>所涉险种保险金额约</w:t>
      </w:r>
      <w:r>
        <w:rPr>
          <w:rFonts w:hint="eastAsia" w:asciiTheme="minorEastAsia" w:hAnsiTheme="minorEastAsia" w:cstheme="minorEastAsia"/>
          <w:b/>
          <w:bCs/>
          <w:color w:val="auto"/>
          <w:kern w:val="0"/>
          <w:sz w:val="28"/>
          <w:szCs w:val="28"/>
          <w:highlight w:val="none"/>
          <w:lang w:eastAsia="zh-CN"/>
        </w:rPr>
        <w:t>100亿元/年</w:t>
      </w:r>
      <w:r>
        <w:rPr>
          <w:rFonts w:hint="eastAsia" w:asciiTheme="minorEastAsia" w:hAnsiTheme="minorEastAsia" w:cstheme="minorEastAsia"/>
          <w:b/>
          <w:bCs/>
          <w:color w:val="auto"/>
          <w:kern w:val="0"/>
          <w:sz w:val="28"/>
          <w:szCs w:val="28"/>
          <w:highlight w:val="none"/>
        </w:rPr>
        <w:t>（最终以实际投保金额为准），含建筑工程一切险及第三者责任险、建工团意险、建工安责险、建工雇主险（或建工安责险附加雇主责任）等</w:t>
      </w:r>
      <w:r>
        <w:rPr>
          <w:rFonts w:hint="eastAsia" w:asciiTheme="minorEastAsia" w:hAnsiTheme="minorEastAsia" w:cstheme="minorEastAsia"/>
          <w:color w:val="auto"/>
          <w:kern w:val="0"/>
          <w:sz w:val="28"/>
          <w:szCs w:val="28"/>
          <w:highlight w:val="none"/>
        </w:rPr>
        <w:t>。</w:t>
      </w:r>
    </w:p>
    <w:p w14:paraId="4100645A">
      <w:pPr>
        <w:keepNext w:val="0"/>
        <w:spacing w:line="540" w:lineRule="exact"/>
        <w:ind w:firstLine="560" w:firstLineChars="200"/>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cstheme="minorEastAsia"/>
          <w:color w:val="auto"/>
          <w:sz w:val="28"/>
          <w:szCs w:val="28"/>
          <w:highlight w:val="none"/>
        </w:rPr>
        <w:t>1.3.</w:t>
      </w:r>
      <w:r>
        <w:rPr>
          <w:rFonts w:hint="eastAsia" w:asciiTheme="minorEastAsia" w:hAnsiTheme="minorEastAsia" w:cstheme="minorEastAsia"/>
          <w:color w:val="auto"/>
          <w:sz w:val="28"/>
          <w:szCs w:val="28"/>
          <w:highlight w:val="none"/>
          <w:lang w:val="en-US" w:eastAsia="zh-CN"/>
        </w:rPr>
        <w:t>2</w:t>
      </w:r>
      <w:r>
        <w:rPr>
          <w:rFonts w:hint="eastAsia" w:asciiTheme="minorEastAsia" w:hAnsiTheme="minorEastAsia" w:cstheme="minorEastAsia"/>
          <w:color w:val="auto"/>
          <w:sz w:val="28"/>
          <w:szCs w:val="28"/>
          <w:highlight w:val="none"/>
        </w:rPr>
        <w:t xml:space="preserve"> </w:t>
      </w:r>
      <w:r>
        <w:rPr>
          <w:rFonts w:hint="eastAsia" w:asciiTheme="minorEastAsia" w:hAnsiTheme="minorEastAsia" w:cstheme="minorEastAsia"/>
          <w:color w:val="auto"/>
          <w:kern w:val="0"/>
          <w:sz w:val="28"/>
          <w:szCs w:val="28"/>
          <w:highlight w:val="none"/>
          <w:lang w:eastAsia="zh-CN"/>
        </w:rPr>
        <w:t>安徽交控工程集团有限公司</w:t>
      </w:r>
      <w:r>
        <w:rPr>
          <w:rFonts w:hint="eastAsia" w:asciiTheme="minorEastAsia" w:hAnsiTheme="minorEastAsia" w:cstheme="minorEastAsia"/>
          <w:color w:val="auto"/>
          <w:kern w:val="0"/>
          <w:sz w:val="28"/>
          <w:szCs w:val="28"/>
          <w:highlight w:val="none"/>
        </w:rPr>
        <w:t>对下分包项目涉及工程类型：养护工程、隧道工程、桥梁工程、道路工程、机电工程、交安工程、园林及道路绿化、预制工程、钢结构工程、光伏工程等施工分包或劳务合作工程，所涉险种保险金额预估施工分包</w:t>
      </w:r>
      <w:r>
        <w:rPr>
          <w:rFonts w:hint="eastAsia" w:asciiTheme="minorEastAsia" w:hAnsiTheme="minorEastAsia" w:cstheme="minorEastAsia"/>
          <w:color w:val="auto"/>
          <w:kern w:val="0"/>
          <w:sz w:val="28"/>
          <w:szCs w:val="28"/>
          <w:highlight w:val="none"/>
          <w:lang w:val="en-US" w:eastAsia="zh-CN"/>
        </w:rPr>
        <w:t>20</w:t>
      </w:r>
      <w:r>
        <w:rPr>
          <w:rFonts w:hint="eastAsia" w:asciiTheme="minorEastAsia" w:hAnsiTheme="minorEastAsia" w:cstheme="minorEastAsia"/>
          <w:color w:val="auto"/>
          <w:kern w:val="0"/>
          <w:sz w:val="28"/>
          <w:szCs w:val="28"/>
          <w:highlight w:val="none"/>
        </w:rPr>
        <w:t>亿元/年、劳务合作</w:t>
      </w:r>
      <w:r>
        <w:rPr>
          <w:rFonts w:hint="eastAsia" w:asciiTheme="minorEastAsia" w:hAnsiTheme="minorEastAsia" w:cstheme="minorEastAsia"/>
          <w:color w:val="auto"/>
          <w:kern w:val="0"/>
          <w:sz w:val="28"/>
          <w:szCs w:val="28"/>
          <w:highlight w:val="none"/>
          <w:lang w:val="en-US" w:eastAsia="zh-CN"/>
        </w:rPr>
        <w:t>30</w:t>
      </w:r>
      <w:r>
        <w:rPr>
          <w:rFonts w:hint="eastAsia" w:asciiTheme="minorEastAsia" w:hAnsiTheme="minorEastAsia" w:cstheme="minorEastAsia"/>
          <w:color w:val="auto"/>
          <w:kern w:val="0"/>
          <w:sz w:val="28"/>
          <w:szCs w:val="28"/>
          <w:highlight w:val="none"/>
        </w:rPr>
        <w:t>亿元/年（最终以实际投保金额为准），</w:t>
      </w:r>
      <w:r>
        <w:rPr>
          <w:rFonts w:hint="eastAsia" w:asciiTheme="minorEastAsia" w:hAnsiTheme="minorEastAsia" w:cstheme="minorEastAsia"/>
          <w:b/>
          <w:bCs/>
          <w:color w:val="auto"/>
          <w:kern w:val="0"/>
          <w:sz w:val="28"/>
          <w:szCs w:val="28"/>
          <w:highlight w:val="none"/>
        </w:rPr>
        <w:t>含建工雇主险或建工安责险、建工团意险等。</w:t>
      </w:r>
    </w:p>
    <w:p w14:paraId="69367FFE">
      <w:pPr>
        <w:pStyle w:val="3"/>
        <w:keepNext w:val="0"/>
        <w:keepLines w:val="0"/>
        <w:numPr>
          <w:ilvl w:val="0"/>
          <w:numId w:val="2"/>
        </w:numPr>
        <w:snapToGrid w:val="0"/>
        <w:spacing w:line="540" w:lineRule="exact"/>
        <w:ind w:left="0" w:firstLine="562" w:firstLineChars="200"/>
        <w:jc w:val="left"/>
        <w:rPr>
          <w:rFonts w:hint="eastAsia" w:asciiTheme="minorEastAsia" w:hAnsiTheme="minorEastAsia" w:eastAsiaTheme="minorEastAsia" w:cstheme="minorEastAsia"/>
          <w:bCs w:val="0"/>
          <w:color w:val="auto"/>
          <w:szCs w:val="28"/>
          <w:highlight w:val="none"/>
        </w:rPr>
      </w:pPr>
      <w:bookmarkStart w:id="8" w:name="_Toc525632586"/>
      <w:bookmarkStart w:id="9" w:name="_Toc23266_WPSOffice_Level2"/>
      <w:bookmarkStart w:id="10" w:name="_Toc17858_WPSOffice_Level2"/>
      <w:bookmarkStart w:id="11" w:name="_Toc18367_WPSOffice_Level2"/>
      <w:bookmarkStart w:id="12" w:name="_Toc8128_WPSOffice_Level2"/>
      <w:bookmarkStart w:id="13" w:name="_Toc10274"/>
      <w:bookmarkStart w:id="14" w:name="_Toc18453"/>
      <w:r>
        <w:rPr>
          <w:rFonts w:hint="eastAsia" w:asciiTheme="minorEastAsia" w:hAnsiTheme="minorEastAsia" w:eastAsiaTheme="minorEastAsia" w:cstheme="minorEastAsia"/>
          <w:bCs w:val="0"/>
          <w:color w:val="auto"/>
          <w:szCs w:val="28"/>
          <w:highlight w:val="none"/>
        </w:rPr>
        <w:t>采购说明</w:t>
      </w:r>
      <w:bookmarkEnd w:id="8"/>
      <w:bookmarkEnd w:id="9"/>
      <w:bookmarkEnd w:id="10"/>
      <w:bookmarkEnd w:id="11"/>
      <w:bookmarkEnd w:id="12"/>
      <w:bookmarkEnd w:id="13"/>
      <w:bookmarkEnd w:id="14"/>
    </w:p>
    <w:p w14:paraId="74A24BFD">
      <w:pPr>
        <w:keepNext w:val="0"/>
        <w:snapToGrid w:val="0"/>
        <w:spacing w:line="540" w:lineRule="exact"/>
        <w:ind w:firstLine="562" w:firstLineChars="200"/>
        <w:jc w:val="left"/>
        <w:rPr>
          <w:rFonts w:hint="eastAsia" w:asciiTheme="minorEastAsia" w:hAnsiTheme="minorEastAsia" w:cstheme="minorEastAsia"/>
          <w:color w:val="auto"/>
          <w:sz w:val="28"/>
          <w:szCs w:val="28"/>
          <w:highlight w:val="none"/>
        </w:rPr>
      </w:pPr>
      <w:bookmarkStart w:id="15" w:name="_Toc4489_WPSOffice_Level3"/>
      <w:r>
        <w:rPr>
          <w:rFonts w:hint="eastAsia" w:asciiTheme="minorEastAsia" w:hAnsiTheme="minorEastAsia" w:cstheme="minorEastAsia"/>
          <w:b/>
          <w:bCs/>
          <w:color w:val="auto"/>
          <w:sz w:val="28"/>
          <w:szCs w:val="28"/>
          <w:highlight w:val="none"/>
        </w:rPr>
        <w:t>2.1 采购方式</w:t>
      </w:r>
      <w:r>
        <w:rPr>
          <w:rFonts w:hint="eastAsia" w:asciiTheme="minorEastAsia" w:hAnsiTheme="minorEastAsia" w:cstheme="minorEastAsia"/>
          <w:color w:val="auto"/>
          <w:sz w:val="28"/>
          <w:szCs w:val="28"/>
          <w:highlight w:val="none"/>
        </w:rPr>
        <w:t>：</w:t>
      </w:r>
      <w:bookmarkEnd w:id="15"/>
      <w:r>
        <w:rPr>
          <w:rFonts w:hint="eastAsia" w:asciiTheme="minorEastAsia" w:hAnsiTheme="minorEastAsia" w:cstheme="minorEastAsia"/>
          <w:color w:val="auto"/>
          <w:sz w:val="28"/>
          <w:szCs w:val="28"/>
          <w:highlight w:val="none"/>
        </w:rPr>
        <w:t>库内</w:t>
      </w:r>
      <w:r>
        <w:rPr>
          <w:rFonts w:hint="eastAsia" w:asciiTheme="minorEastAsia" w:hAnsiTheme="minorEastAsia" w:cstheme="minorEastAsia"/>
          <w:color w:val="auto"/>
          <w:sz w:val="28"/>
          <w:szCs w:val="28"/>
          <w:highlight w:val="none"/>
          <w:lang w:val="en-US" w:eastAsia="zh-CN"/>
        </w:rPr>
        <w:t>外公开</w:t>
      </w:r>
      <w:r>
        <w:rPr>
          <w:rFonts w:hint="eastAsia" w:asciiTheme="minorEastAsia" w:hAnsiTheme="minorEastAsia" w:cstheme="minorEastAsia"/>
          <w:color w:val="auto"/>
          <w:sz w:val="28"/>
          <w:szCs w:val="28"/>
          <w:highlight w:val="none"/>
        </w:rPr>
        <w:t>询比采购。</w:t>
      </w:r>
    </w:p>
    <w:p w14:paraId="5E0212A2">
      <w:pPr>
        <w:keepNext w:val="0"/>
        <w:snapToGrid w:val="0"/>
        <w:spacing w:line="540" w:lineRule="exact"/>
        <w:ind w:firstLine="562" w:firstLineChars="200"/>
        <w:jc w:val="left"/>
        <w:rPr>
          <w:rFonts w:hint="eastAsia" w:asciiTheme="minorEastAsia" w:hAnsiTheme="minorEastAsia" w:cstheme="minorEastAsia"/>
          <w:color w:val="auto"/>
          <w:sz w:val="28"/>
          <w:szCs w:val="28"/>
          <w:highlight w:val="none"/>
        </w:rPr>
      </w:pPr>
      <w:bookmarkStart w:id="16" w:name="_Toc23266_WPSOffice_Level3"/>
      <w:r>
        <w:rPr>
          <w:rFonts w:hint="eastAsia" w:asciiTheme="minorEastAsia" w:hAnsiTheme="minorEastAsia" w:cstheme="minorEastAsia"/>
          <w:b/>
          <w:bCs/>
          <w:color w:val="auto"/>
          <w:sz w:val="28"/>
          <w:szCs w:val="28"/>
          <w:highlight w:val="none"/>
        </w:rPr>
        <w:t>2.2 资金来源及比例</w:t>
      </w:r>
      <w:r>
        <w:rPr>
          <w:rFonts w:hint="eastAsia" w:asciiTheme="minorEastAsia" w:hAnsiTheme="minorEastAsia" w:cstheme="minorEastAsia"/>
          <w:color w:val="auto"/>
          <w:sz w:val="28"/>
          <w:szCs w:val="28"/>
          <w:highlight w:val="none"/>
        </w:rPr>
        <w:t>：</w:t>
      </w:r>
      <w:bookmarkEnd w:id="16"/>
      <w:bookmarkStart w:id="17" w:name="_Toc22379_WPSOffice_Level3"/>
      <w:r>
        <w:rPr>
          <w:rFonts w:hint="eastAsia" w:asciiTheme="minorEastAsia" w:hAnsiTheme="minorEastAsia" w:cstheme="minorEastAsia"/>
          <w:color w:val="auto"/>
          <w:sz w:val="28"/>
          <w:szCs w:val="28"/>
          <w:highlight w:val="none"/>
        </w:rPr>
        <w:t>企业自筹。</w:t>
      </w:r>
    </w:p>
    <w:p w14:paraId="5AA3E1DA">
      <w:pPr>
        <w:keepNext w:val="0"/>
        <w:snapToGrid w:val="0"/>
        <w:spacing w:line="54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2.3 采购范围</w:t>
      </w:r>
      <w:r>
        <w:rPr>
          <w:rFonts w:hint="eastAsia" w:asciiTheme="minorEastAsia" w:hAnsi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eastAsia="zh-CN"/>
        </w:rPr>
        <w:t>安徽交控工程集团有限公司</w:t>
      </w:r>
      <w:r>
        <w:rPr>
          <w:rFonts w:hint="eastAsia" w:asciiTheme="minorEastAsia" w:hAnsiTheme="minorEastAsia" w:cstheme="minorEastAsia"/>
          <w:color w:val="auto"/>
          <w:sz w:val="28"/>
          <w:szCs w:val="28"/>
          <w:highlight w:val="none"/>
        </w:rPr>
        <w:t>承保项目、</w:t>
      </w:r>
      <w:r>
        <w:rPr>
          <w:rFonts w:hint="eastAsia" w:asciiTheme="minorEastAsia" w:hAnsiTheme="minorEastAsia" w:cstheme="minorEastAsia"/>
          <w:color w:val="auto"/>
          <w:sz w:val="28"/>
          <w:szCs w:val="28"/>
          <w:highlight w:val="none"/>
          <w:lang w:eastAsia="zh-CN"/>
        </w:rPr>
        <w:t>安徽交控工程集团有限公司</w:t>
      </w:r>
      <w:r>
        <w:rPr>
          <w:rFonts w:hint="eastAsia" w:asciiTheme="minorEastAsia" w:hAnsiTheme="minorEastAsia" w:cstheme="minorEastAsia"/>
          <w:color w:val="auto"/>
          <w:sz w:val="28"/>
          <w:szCs w:val="28"/>
          <w:highlight w:val="none"/>
        </w:rPr>
        <w:t>对下</w:t>
      </w:r>
      <w:r>
        <w:rPr>
          <w:rFonts w:hint="eastAsia" w:asciiTheme="minorEastAsia" w:hAnsiTheme="minorEastAsia" w:cstheme="minorEastAsia"/>
          <w:color w:val="auto"/>
          <w:kern w:val="0"/>
          <w:sz w:val="28"/>
          <w:szCs w:val="28"/>
          <w:highlight w:val="none"/>
        </w:rPr>
        <w:t>合法分包</w:t>
      </w:r>
      <w:r>
        <w:rPr>
          <w:rFonts w:hint="eastAsia" w:asciiTheme="minorEastAsia" w:hAnsiTheme="minorEastAsia" w:cstheme="minorEastAsia"/>
          <w:color w:val="auto"/>
          <w:sz w:val="28"/>
          <w:szCs w:val="28"/>
          <w:highlight w:val="none"/>
        </w:rPr>
        <w:t>项目的</w:t>
      </w:r>
      <w:r>
        <w:rPr>
          <w:rFonts w:hint="eastAsia" w:asciiTheme="minorEastAsia" w:hAnsiTheme="minorEastAsia" w:cstheme="minorEastAsia"/>
          <w:color w:val="auto"/>
          <w:kern w:val="0"/>
          <w:sz w:val="28"/>
          <w:szCs w:val="28"/>
          <w:highlight w:val="none"/>
        </w:rPr>
        <w:t>建筑工程一切险及第三者责任险、建工团意险、建工安责险、建工雇主险（或建工安责险附加雇主责任）等保险采购。</w:t>
      </w:r>
    </w:p>
    <w:p w14:paraId="31E9231D">
      <w:pPr>
        <w:keepNext w:val="0"/>
        <w:snapToGrid w:val="0"/>
        <w:spacing w:line="54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2.4 合同包划分</w:t>
      </w:r>
      <w:r>
        <w:rPr>
          <w:rFonts w:hint="eastAsia" w:asciiTheme="minorEastAsia" w:hAnsi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eastAsia="zh-CN"/>
        </w:rPr>
        <w:t>03标包（</w:t>
      </w:r>
      <w:r>
        <w:rPr>
          <w:rFonts w:hint="eastAsia" w:asciiTheme="minorEastAsia" w:hAnsiTheme="minorEastAsia" w:cstheme="minorEastAsia"/>
          <w:color w:val="auto"/>
          <w:sz w:val="28"/>
          <w:szCs w:val="28"/>
          <w:highlight w:val="none"/>
          <w:u w:val="single"/>
          <w:lang w:val="en-US" w:eastAsia="zh-CN"/>
        </w:rPr>
        <w:t>100</w:t>
      </w:r>
      <w:r>
        <w:rPr>
          <w:rFonts w:hint="eastAsia" w:asciiTheme="minorEastAsia" w:hAnsiTheme="minorEastAsia" w:cstheme="minorEastAsia"/>
          <w:color w:val="auto"/>
          <w:sz w:val="28"/>
          <w:szCs w:val="28"/>
          <w:highlight w:val="none"/>
          <w:lang w:val="en-US" w:eastAsia="zh-CN"/>
        </w:rPr>
        <w:t>亿/年</w:t>
      </w:r>
      <w:r>
        <w:rPr>
          <w:rFonts w:hint="eastAsia" w:asciiTheme="minorEastAsia" w:hAnsiTheme="minorEastAsia" w:cstheme="minorEastAsia"/>
          <w:color w:val="auto"/>
          <w:sz w:val="28"/>
          <w:szCs w:val="28"/>
          <w:highlight w:val="none"/>
        </w:rPr>
        <w:t>），含</w:t>
      </w:r>
      <w:r>
        <w:rPr>
          <w:rFonts w:hint="eastAsia" w:asciiTheme="minorEastAsia" w:hAnsiTheme="minorEastAsia" w:cstheme="minorEastAsia"/>
          <w:color w:val="auto"/>
          <w:sz w:val="28"/>
          <w:szCs w:val="28"/>
          <w:highlight w:val="none"/>
          <w:lang w:eastAsia="zh-CN"/>
        </w:rPr>
        <w:t>安徽交控工程集团有限公司</w:t>
      </w:r>
      <w:r>
        <w:rPr>
          <w:rFonts w:hint="eastAsia" w:asciiTheme="minorEastAsia" w:hAnsiTheme="minorEastAsia" w:cstheme="minorEastAsia"/>
          <w:color w:val="auto"/>
          <w:sz w:val="28"/>
          <w:szCs w:val="28"/>
          <w:highlight w:val="none"/>
        </w:rPr>
        <w:t>对下分包项目。</w:t>
      </w:r>
    </w:p>
    <w:p w14:paraId="3D7D18DC">
      <w:pPr>
        <w:keepNext w:val="0"/>
        <w:snapToGrid w:val="0"/>
        <w:spacing w:line="540" w:lineRule="exact"/>
        <w:ind w:firstLine="562" w:firstLineChars="200"/>
        <w:jc w:val="left"/>
        <w:rPr>
          <w:rFonts w:hint="eastAsia" w:asciiTheme="minorEastAsia" w:hAnsiTheme="minorEastAsia" w:cstheme="minorEastAsia"/>
          <w:b w:val="0"/>
          <w:bCs w:val="0"/>
          <w:color w:val="auto"/>
          <w:sz w:val="28"/>
          <w:szCs w:val="28"/>
          <w:highlight w:val="none"/>
          <w:lang w:eastAsia="zh-CN"/>
        </w:rPr>
      </w:pPr>
      <w:r>
        <w:rPr>
          <w:rFonts w:hint="eastAsia" w:asciiTheme="minorEastAsia" w:hAnsiTheme="minorEastAsia" w:cstheme="minorEastAsia"/>
          <w:b/>
          <w:bCs/>
          <w:color w:val="auto"/>
          <w:sz w:val="28"/>
          <w:szCs w:val="28"/>
          <w:highlight w:val="none"/>
        </w:rPr>
        <w:t>2.5 限价要求</w:t>
      </w:r>
      <w:r>
        <w:rPr>
          <w:rFonts w:hint="eastAsia" w:asciiTheme="minorEastAsia" w:hAnsiTheme="minorEastAsia" w:cstheme="minorEastAsia"/>
          <w:color w:val="auto"/>
          <w:sz w:val="28"/>
          <w:szCs w:val="28"/>
          <w:highlight w:val="none"/>
        </w:rPr>
        <w:t>：</w:t>
      </w:r>
      <w:bookmarkEnd w:id="17"/>
      <w:r>
        <w:rPr>
          <w:rFonts w:hint="eastAsia" w:asciiTheme="minorEastAsia" w:hAnsiTheme="minorEastAsia" w:cstheme="minorEastAsia"/>
          <w:b w:val="0"/>
          <w:bCs w:val="0"/>
          <w:color w:val="auto"/>
          <w:sz w:val="28"/>
          <w:szCs w:val="28"/>
          <w:highlight w:val="none"/>
        </w:rPr>
        <w:t>本次保险采购按限费率执行</w:t>
      </w:r>
      <w:r>
        <w:rPr>
          <w:rFonts w:hint="eastAsia" w:asciiTheme="minorEastAsia" w:hAnsiTheme="minorEastAsia" w:cstheme="minorEastAsia"/>
          <w:b w:val="0"/>
          <w:bCs w:val="0"/>
          <w:color w:val="auto"/>
          <w:sz w:val="28"/>
          <w:szCs w:val="28"/>
          <w:highlight w:val="none"/>
          <w:lang w:eastAsia="zh-CN"/>
        </w:rPr>
        <w:t>（各险种费率按照千</w:t>
      </w:r>
      <w:r>
        <w:rPr>
          <w:rFonts w:hint="default" w:asciiTheme="minorEastAsia" w:hAnsiTheme="minorEastAsia" w:cstheme="minorEastAsia"/>
          <w:b w:val="0"/>
          <w:bCs w:val="0"/>
          <w:color w:val="auto"/>
          <w:sz w:val="28"/>
          <w:szCs w:val="28"/>
          <w:highlight w:val="none"/>
        </w:rPr>
        <w:t>分比</w:t>
      </w:r>
      <w:r>
        <w:rPr>
          <w:rFonts w:hint="eastAsia" w:asciiTheme="minorEastAsia" w:hAnsiTheme="minorEastAsia" w:cstheme="minorEastAsia"/>
          <w:b w:val="0"/>
          <w:bCs w:val="0"/>
          <w:color w:val="auto"/>
          <w:sz w:val="28"/>
          <w:szCs w:val="28"/>
          <w:highlight w:val="none"/>
          <w:lang w:eastAsia="zh-CN"/>
        </w:rPr>
        <w:t>进行</w:t>
      </w:r>
      <w:r>
        <w:rPr>
          <w:rFonts w:hint="default" w:asciiTheme="minorEastAsia" w:hAnsiTheme="minorEastAsia" w:cstheme="minorEastAsia"/>
          <w:b w:val="0"/>
          <w:bCs w:val="0"/>
          <w:color w:val="auto"/>
          <w:sz w:val="28"/>
          <w:szCs w:val="28"/>
          <w:highlight w:val="none"/>
        </w:rPr>
        <w:t>填写，</w:t>
      </w:r>
      <w:r>
        <w:rPr>
          <w:rFonts w:hint="eastAsia" w:asciiTheme="minorEastAsia" w:hAnsiTheme="minorEastAsia" w:cstheme="minorEastAsia"/>
          <w:b w:val="0"/>
          <w:bCs w:val="0"/>
          <w:color w:val="auto"/>
          <w:sz w:val="28"/>
          <w:szCs w:val="28"/>
          <w:highlight w:val="none"/>
          <w:lang w:eastAsia="zh-CN"/>
        </w:rPr>
        <w:t>并</w:t>
      </w:r>
      <w:r>
        <w:rPr>
          <w:rFonts w:hint="default" w:asciiTheme="minorEastAsia" w:hAnsiTheme="minorEastAsia" w:cstheme="minorEastAsia"/>
          <w:b w:val="0"/>
          <w:bCs w:val="0"/>
          <w:color w:val="auto"/>
          <w:sz w:val="28"/>
          <w:szCs w:val="28"/>
          <w:highlight w:val="none"/>
        </w:rPr>
        <w:t>保留 2 位小数）</w:t>
      </w:r>
      <w:r>
        <w:rPr>
          <w:rFonts w:hint="eastAsia" w:asciiTheme="minorEastAsia" w:hAnsiTheme="minorEastAsia" w:cstheme="minorEastAsia"/>
          <w:b w:val="0"/>
          <w:bCs w:val="0"/>
          <w:color w:val="auto"/>
          <w:sz w:val="28"/>
          <w:szCs w:val="28"/>
          <w:highlight w:val="none"/>
          <w:lang w:eastAsia="zh-CN"/>
        </w:rPr>
        <w:t>具体如下：</w:t>
      </w:r>
    </w:p>
    <w:tbl>
      <w:tblPr>
        <w:tblStyle w:val="31"/>
        <w:tblW w:w="4717"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15"/>
        <w:gridCol w:w="1369"/>
        <w:gridCol w:w="1023"/>
        <w:gridCol w:w="1632"/>
        <w:gridCol w:w="2849"/>
        <w:gridCol w:w="1508"/>
      </w:tblGrid>
      <w:tr w14:paraId="4735EF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492" w:type="pct"/>
            <w:shd w:val="clear" w:color="auto" w:fill="auto"/>
            <w:vAlign w:val="center"/>
          </w:tcPr>
          <w:p w14:paraId="1E62C668">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0"/>
                <w:szCs w:val="20"/>
                <w:highlight w:val="none"/>
              </w:rPr>
            </w:pPr>
            <w:r>
              <w:rPr>
                <w:rFonts w:ascii="Times New Roman" w:hAnsi="Times New Roman" w:eastAsia="宋体" w:cs="Times New Roman"/>
                <w:b/>
                <w:bCs/>
                <w:color w:val="auto"/>
                <w:kern w:val="0"/>
                <w:sz w:val="20"/>
                <w:szCs w:val="20"/>
                <w:highlight w:val="none"/>
                <w:lang w:bidi="ar"/>
              </w:rPr>
              <w:t>标包</w:t>
            </w:r>
          </w:p>
        </w:tc>
        <w:tc>
          <w:tcPr>
            <w:tcW w:w="736" w:type="pct"/>
            <w:shd w:val="clear" w:color="auto" w:fill="auto"/>
            <w:vAlign w:val="center"/>
          </w:tcPr>
          <w:p w14:paraId="1ED18EF7">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类别</w:t>
            </w:r>
          </w:p>
        </w:tc>
        <w:tc>
          <w:tcPr>
            <w:tcW w:w="550" w:type="pct"/>
            <w:shd w:val="clear" w:color="auto" w:fill="auto"/>
            <w:vAlign w:val="center"/>
          </w:tcPr>
          <w:p w14:paraId="78CD07AE">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序号</w:t>
            </w:r>
          </w:p>
        </w:tc>
        <w:tc>
          <w:tcPr>
            <w:tcW w:w="877" w:type="pct"/>
            <w:shd w:val="clear" w:color="auto" w:fill="auto"/>
            <w:vAlign w:val="center"/>
          </w:tcPr>
          <w:p w14:paraId="74FDF895">
            <w:pPr>
              <w:keepNext w:val="0"/>
              <w:keepLines w:val="0"/>
              <w:pageBreakBefore w:val="0"/>
              <w:widowControl w:val="0"/>
              <w:kinsoku/>
              <w:wordWrap/>
              <w:overflowPunct/>
              <w:topLinePunct w:val="0"/>
              <w:autoSpaceDE/>
              <w:autoSpaceDN/>
              <w:bidi w:val="0"/>
              <w:adjustRightInd/>
              <w:snapToGrid/>
              <w:jc w:val="center"/>
              <w:textAlignment w:val="center"/>
              <w:rPr>
                <w:rFonts w:hint="eastAsia" w:ascii="Times New Roman" w:hAnsi="Times New Roman" w:eastAsia="宋体" w:cs="Times New Roman"/>
                <w:b/>
                <w:bCs/>
                <w:color w:val="auto"/>
                <w:sz w:val="20"/>
                <w:szCs w:val="20"/>
                <w:highlight w:val="none"/>
                <w:lang w:eastAsia="zh-CN"/>
              </w:rPr>
            </w:pPr>
            <w:r>
              <w:rPr>
                <w:rFonts w:hint="eastAsia" w:ascii="Times New Roman" w:hAnsi="Times New Roman" w:eastAsia="宋体" w:cs="Times New Roman"/>
                <w:b/>
                <w:bCs/>
                <w:color w:val="auto"/>
                <w:kern w:val="0"/>
                <w:sz w:val="20"/>
                <w:szCs w:val="20"/>
                <w:highlight w:val="none"/>
                <w:lang w:eastAsia="zh-CN" w:bidi="ar"/>
              </w:rPr>
              <w:t>投保金额</w:t>
            </w:r>
          </w:p>
        </w:tc>
        <w:tc>
          <w:tcPr>
            <w:tcW w:w="1531" w:type="pct"/>
            <w:shd w:val="clear" w:color="auto" w:fill="auto"/>
            <w:vAlign w:val="center"/>
          </w:tcPr>
          <w:p w14:paraId="1239E3AD">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险种名称</w:t>
            </w:r>
          </w:p>
        </w:tc>
        <w:tc>
          <w:tcPr>
            <w:tcW w:w="810" w:type="pct"/>
            <w:shd w:val="clear" w:color="auto" w:fill="auto"/>
            <w:vAlign w:val="center"/>
          </w:tcPr>
          <w:p w14:paraId="02FF9FF4">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含可抵扣增值税</w:t>
            </w:r>
            <w:r>
              <w:rPr>
                <w:rFonts w:hint="default" w:ascii="Times New Roman" w:hAnsi="Times New Roman" w:eastAsia="宋体" w:cs="Times New Roman"/>
                <w:b/>
                <w:bCs/>
                <w:color w:val="auto"/>
                <w:kern w:val="0"/>
                <w:sz w:val="20"/>
                <w:szCs w:val="20"/>
                <w:highlight w:val="none"/>
                <w:lang w:val="en-US" w:eastAsia="zh-CN" w:bidi="ar"/>
              </w:rPr>
              <w:t>限额</w:t>
            </w:r>
            <w:r>
              <w:rPr>
                <w:rFonts w:hint="default" w:ascii="Times New Roman" w:hAnsi="Times New Roman" w:eastAsia="宋体" w:cs="Times New Roman"/>
                <w:b/>
                <w:bCs/>
                <w:color w:val="auto"/>
                <w:kern w:val="0"/>
                <w:sz w:val="20"/>
                <w:szCs w:val="20"/>
                <w:highlight w:val="none"/>
                <w:lang w:bidi="ar"/>
              </w:rPr>
              <w:t>费率</w:t>
            </w:r>
          </w:p>
        </w:tc>
      </w:tr>
      <w:tr w14:paraId="114250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14" w:hRule="atLeast"/>
          <w:jc w:val="center"/>
        </w:trPr>
        <w:tc>
          <w:tcPr>
            <w:tcW w:w="492" w:type="pct"/>
            <w:vMerge w:val="restart"/>
            <w:shd w:val="clear" w:color="auto" w:fill="auto"/>
            <w:vAlign w:val="center"/>
          </w:tcPr>
          <w:p w14:paraId="4F9315FB">
            <w:pPr>
              <w:keepNext w:val="0"/>
              <w:keepLines w:val="0"/>
              <w:pageBreakBefore w:val="0"/>
              <w:widowControl w:val="0"/>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0"/>
                <w:szCs w:val="20"/>
                <w:highlight w:val="none"/>
                <w:lang w:eastAsia="zh-CN"/>
              </w:rPr>
            </w:pPr>
            <w:r>
              <w:rPr>
                <w:rFonts w:hint="eastAsia" w:ascii="Times New Roman" w:hAnsi="Times New Roman" w:eastAsia="宋体" w:cs="Times New Roman"/>
                <w:color w:val="auto"/>
                <w:kern w:val="0"/>
                <w:sz w:val="20"/>
                <w:szCs w:val="20"/>
                <w:highlight w:val="none"/>
                <w:lang w:eastAsia="zh-CN" w:bidi="ar"/>
              </w:rPr>
              <w:t>03标包</w:t>
            </w:r>
          </w:p>
        </w:tc>
        <w:tc>
          <w:tcPr>
            <w:tcW w:w="736" w:type="pct"/>
            <w:vMerge w:val="restart"/>
            <w:shd w:val="clear" w:color="auto" w:fill="auto"/>
            <w:vAlign w:val="center"/>
          </w:tcPr>
          <w:p w14:paraId="2728882C">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承保项目</w:t>
            </w:r>
          </w:p>
        </w:tc>
        <w:tc>
          <w:tcPr>
            <w:tcW w:w="550" w:type="pct"/>
            <w:shd w:val="clear" w:color="auto" w:fill="auto"/>
            <w:vAlign w:val="center"/>
          </w:tcPr>
          <w:p w14:paraId="7C8D95FB">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877" w:type="pct"/>
            <w:vMerge w:val="restart"/>
            <w:shd w:val="clear" w:color="auto" w:fill="auto"/>
            <w:vAlign w:val="center"/>
          </w:tcPr>
          <w:p w14:paraId="7777093E">
            <w:pPr>
              <w:keepNext w:val="0"/>
              <w:keepLines w:val="0"/>
              <w:pageBreakBefore w:val="0"/>
              <w:widowControl w:val="0"/>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u w:val="single"/>
                <w:lang w:eastAsia="zh-CN" w:bidi="ar"/>
              </w:rPr>
              <w:t>100</w:t>
            </w:r>
            <w:r>
              <w:rPr>
                <w:rFonts w:hint="eastAsia" w:ascii="Times New Roman" w:hAnsi="Times New Roman" w:eastAsia="宋体" w:cs="Times New Roman"/>
                <w:color w:val="auto"/>
                <w:kern w:val="0"/>
                <w:sz w:val="20"/>
                <w:szCs w:val="20"/>
                <w:highlight w:val="none"/>
                <w:lang w:eastAsia="zh-CN" w:bidi="ar"/>
              </w:rPr>
              <w:t>亿元/年</w:t>
            </w:r>
          </w:p>
        </w:tc>
        <w:tc>
          <w:tcPr>
            <w:tcW w:w="1531" w:type="pct"/>
            <w:shd w:val="clear" w:color="auto" w:fill="auto"/>
            <w:vAlign w:val="center"/>
          </w:tcPr>
          <w:p w14:paraId="492E5515">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建筑工程一切险及第三者责任险</w:t>
            </w:r>
          </w:p>
        </w:tc>
        <w:tc>
          <w:tcPr>
            <w:tcW w:w="810" w:type="pct"/>
            <w:shd w:val="clear" w:color="auto" w:fill="auto"/>
            <w:vAlign w:val="center"/>
          </w:tcPr>
          <w:p w14:paraId="30668AEA">
            <w:pPr>
              <w:keepNext w:val="0"/>
              <w:keepLines w:val="0"/>
              <w:pageBreakBefore w:val="0"/>
              <w:widowControl w:val="0"/>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kern w:val="0"/>
                <w:sz w:val="21"/>
                <w:szCs w:val="21"/>
                <w:highlight w:val="none"/>
                <w:lang w:bidi="ar"/>
              </w:rPr>
              <w:t>0.</w:t>
            </w:r>
            <w:r>
              <w:rPr>
                <w:rFonts w:hint="eastAsia" w:ascii="Times New Roman" w:hAnsi="Times New Roman" w:eastAsia="宋体" w:cs="Times New Roman"/>
                <w:color w:val="auto"/>
                <w:kern w:val="0"/>
                <w:sz w:val="21"/>
                <w:szCs w:val="21"/>
                <w:highlight w:val="none"/>
                <w:lang w:val="en-US" w:eastAsia="zh-CN" w:bidi="ar"/>
              </w:rPr>
              <w:t>90</w:t>
            </w:r>
            <w:r>
              <w:rPr>
                <w:rFonts w:hint="eastAsia" w:ascii="Times New Roman" w:hAnsi="Times New Roman" w:eastAsia="宋体" w:cs="Times New Roman"/>
                <w:color w:val="auto"/>
                <w:kern w:val="0"/>
                <w:sz w:val="21"/>
                <w:szCs w:val="21"/>
                <w:highlight w:val="none"/>
                <w:lang w:eastAsia="zh-CN" w:bidi="ar"/>
              </w:rPr>
              <w:t>‰</w:t>
            </w:r>
          </w:p>
        </w:tc>
      </w:tr>
      <w:tr w14:paraId="7F5EB0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atLeast"/>
          <w:jc w:val="center"/>
        </w:trPr>
        <w:tc>
          <w:tcPr>
            <w:tcW w:w="492" w:type="pct"/>
            <w:vMerge w:val="continue"/>
            <w:shd w:val="clear" w:color="auto" w:fill="auto"/>
            <w:vAlign w:val="center"/>
          </w:tcPr>
          <w:p w14:paraId="21CF7AF8">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736" w:type="pct"/>
            <w:vMerge w:val="continue"/>
            <w:shd w:val="clear" w:color="auto" w:fill="auto"/>
            <w:vAlign w:val="center"/>
          </w:tcPr>
          <w:p w14:paraId="602CBB1D">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550" w:type="pct"/>
            <w:shd w:val="clear" w:color="auto" w:fill="auto"/>
            <w:vAlign w:val="center"/>
          </w:tcPr>
          <w:p w14:paraId="04416316">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877" w:type="pct"/>
            <w:vMerge w:val="continue"/>
            <w:shd w:val="clear" w:color="auto" w:fill="auto"/>
            <w:vAlign w:val="center"/>
          </w:tcPr>
          <w:p w14:paraId="01533CF7">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1531" w:type="pct"/>
            <w:shd w:val="clear" w:color="auto" w:fill="auto"/>
            <w:vAlign w:val="center"/>
          </w:tcPr>
          <w:p w14:paraId="6F838F76">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810" w:type="pct"/>
            <w:shd w:val="clear" w:color="auto" w:fill="auto"/>
            <w:vAlign w:val="center"/>
          </w:tcPr>
          <w:p w14:paraId="52942E20">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kern w:val="0"/>
                <w:sz w:val="21"/>
                <w:szCs w:val="21"/>
                <w:highlight w:val="none"/>
                <w:lang w:bidi="ar"/>
              </w:rPr>
              <w:t>0.</w:t>
            </w:r>
            <w:r>
              <w:rPr>
                <w:rFonts w:hint="eastAsia" w:ascii="Times New Roman" w:hAnsi="Times New Roman" w:eastAsia="宋体" w:cs="Times New Roman"/>
                <w:color w:val="auto"/>
                <w:kern w:val="0"/>
                <w:sz w:val="21"/>
                <w:szCs w:val="21"/>
                <w:highlight w:val="none"/>
                <w:lang w:val="en-US" w:eastAsia="zh-CN" w:bidi="ar"/>
              </w:rPr>
              <w:t>80</w:t>
            </w:r>
            <w:r>
              <w:rPr>
                <w:rFonts w:hint="eastAsia" w:ascii="Times New Roman" w:hAnsi="Times New Roman" w:eastAsia="宋体" w:cs="Times New Roman"/>
                <w:color w:val="auto"/>
                <w:kern w:val="0"/>
                <w:sz w:val="21"/>
                <w:szCs w:val="21"/>
                <w:highlight w:val="none"/>
                <w:lang w:eastAsia="zh-CN" w:bidi="ar"/>
              </w:rPr>
              <w:t>‰</w:t>
            </w:r>
          </w:p>
        </w:tc>
      </w:tr>
      <w:tr w14:paraId="0EE2CE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9" w:hRule="atLeast"/>
          <w:jc w:val="center"/>
        </w:trPr>
        <w:tc>
          <w:tcPr>
            <w:tcW w:w="492" w:type="pct"/>
            <w:vMerge w:val="continue"/>
            <w:shd w:val="clear" w:color="auto" w:fill="auto"/>
            <w:vAlign w:val="center"/>
          </w:tcPr>
          <w:p w14:paraId="0B6B94D0">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736" w:type="pct"/>
            <w:vMerge w:val="continue"/>
            <w:shd w:val="clear" w:color="auto" w:fill="auto"/>
            <w:vAlign w:val="center"/>
          </w:tcPr>
          <w:p w14:paraId="09BEF335">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550" w:type="pct"/>
            <w:shd w:val="clear" w:color="auto" w:fill="auto"/>
            <w:vAlign w:val="center"/>
          </w:tcPr>
          <w:p w14:paraId="1FBAB856">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3</w:t>
            </w:r>
          </w:p>
        </w:tc>
        <w:tc>
          <w:tcPr>
            <w:tcW w:w="877" w:type="pct"/>
            <w:vMerge w:val="continue"/>
            <w:shd w:val="clear" w:color="auto" w:fill="auto"/>
            <w:vAlign w:val="center"/>
          </w:tcPr>
          <w:p w14:paraId="791714A1">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1531" w:type="pct"/>
            <w:shd w:val="clear" w:color="auto" w:fill="auto"/>
            <w:vAlign w:val="center"/>
          </w:tcPr>
          <w:p w14:paraId="2EDAEAB7">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建工雇主险（或建工安责险附加雇主责任）</w:t>
            </w:r>
          </w:p>
        </w:tc>
        <w:tc>
          <w:tcPr>
            <w:tcW w:w="810" w:type="pct"/>
            <w:shd w:val="clear" w:color="auto" w:fill="auto"/>
            <w:vAlign w:val="center"/>
          </w:tcPr>
          <w:p w14:paraId="3A49972F">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kern w:val="0"/>
                <w:sz w:val="21"/>
                <w:szCs w:val="21"/>
                <w:highlight w:val="none"/>
                <w:lang w:bidi="ar"/>
              </w:rPr>
              <w:t>0.</w:t>
            </w:r>
            <w:r>
              <w:rPr>
                <w:rFonts w:hint="eastAsia" w:ascii="Times New Roman" w:hAnsi="Times New Roman" w:eastAsia="宋体" w:cs="Times New Roman"/>
                <w:color w:val="auto"/>
                <w:kern w:val="0"/>
                <w:sz w:val="21"/>
                <w:szCs w:val="21"/>
                <w:highlight w:val="none"/>
                <w:lang w:val="en-US" w:eastAsia="zh-CN" w:bidi="ar"/>
              </w:rPr>
              <w:t>80</w:t>
            </w:r>
            <w:r>
              <w:rPr>
                <w:rFonts w:hint="eastAsia" w:ascii="Times New Roman" w:hAnsi="Times New Roman" w:eastAsia="宋体" w:cs="Times New Roman"/>
                <w:color w:val="auto"/>
                <w:kern w:val="0"/>
                <w:sz w:val="21"/>
                <w:szCs w:val="21"/>
                <w:highlight w:val="none"/>
                <w:lang w:eastAsia="zh-CN" w:bidi="ar"/>
              </w:rPr>
              <w:t>‰</w:t>
            </w:r>
          </w:p>
        </w:tc>
      </w:tr>
      <w:tr w14:paraId="177DF5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4" w:hRule="atLeast"/>
          <w:jc w:val="center"/>
        </w:trPr>
        <w:tc>
          <w:tcPr>
            <w:tcW w:w="492" w:type="pct"/>
            <w:vMerge w:val="continue"/>
            <w:shd w:val="clear" w:color="auto" w:fill="auto"/>
            <w:vAlign w:val="center"/>
          </w:tcPr>
          <w:p w14:paraId="5C1CD28F">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736" w:type="pct"/>
            <w:vMerge w:val="continue"/>
            <w:shd w:val="clear" w:color="auto" w:fill="auto"/>
            <w:vAlign w:val="center"/>
          </w:tcPr>
          <w:p w14:paraId="47E411B7">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550" w:type="pct"/>
            <w:shd w:val="clear" w:color="auto" w:fill="auto"/>
            <w:vAlign w:val="center"/>
          </w:tcPr>
          <w:p w14:paraId="0081D19F">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4</w:t>
            </w:r>
          </w:p>
        </w:tc>
        <w:tc>
          <w:tcPr>
            <w:tcW w:w="877" w:type="pct"/>
            <w:vMerge w:val="continue"/>
            <w:shd w:val="clear" w:color="auto" w:fill="auto"/>
            <w:vAlign w:val="center"/>
          </w:tcPr>
          <w:p w14:paraId="340EF980">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1531" w:type="pct"/>
            <w:shd w:val="clear" w:color="auto" w:fill="auto"/>
            <w:vAlign w:val="center"/>
          </w:tcPr>
          <w:p w14:paraId="03D3035B">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建工安责险</w:t>
            </w:r>
          </w:p>
        </w:tc>
        <w:tc>
          <w:tcPr>
            <w:tcW w:w="810" w:type="pct"/>
            <w:shd w:val="clear" w:color="auto" w:fill="auto"/>
            <w:vAlign w:val="center"/>
          </w:tcPr>
          <w:p w14:paraId="24C1031E">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kern w:val="0"/>
                <w:sz w:val="21"/>
                <w:szCs w:val="21"/>
                <w:highlight w:val="none"/>
                <w:lang w:bidi="ar"/>
              </w:rPr>
              <w:t>0.</w:t>
            </w:r>
            <w:r>
              <w:rPr>
                <w:rFonts w:hint="eastAsia" w:ascii="Times New Roman" w:hAnsi="Times New Roman" w:eastAsia="宋体" w:cs="Times New Roman"/>
                <w:color w:val="auto"/>
                <w:kern w:val="0"/>
                <w:sz w:val="21"/>
                <w:szCs w:val="21"/>
                <w:highlight w:val="none"/>
                <w:lang w:val="en-US" w:eastAsia="zh-CN" w:bidi="ar"/>
              </w:rPr>
              <w:t>80</w:t>
            </w:r>
            <w:r>
              <w:rPr>
                <w:rFonts w:hint="eastAsia" w:ascii="Times New Roman" w:hAnsi="Times New Roman" w:eastAsia="宋体" w:cs="Times New Roman"/>
                <w:color w:val="auto"/>
                <w:kern w:val="0"/>
                <w:sz w:val="21"/>
                <w:szCs w:val="21"/>
                <w:highlight w:val="none"/>
                <w:lang w:eastAsia="zh-CN" w:bidi="ar"/>
              </w:rPr>
              <w:t>‰</w:t>
            </w:r>
          </w:p>
        </w:tc>
      </w:tr>
      <w:tr w14:paraId="49612F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jc w:val="center"/>
        </w:trPr>
        <w:tc>
          <w:tcPr>
            <w:tcW w:w="492" w:type="pct"/>
            <w:vMerge w:val="continue"/>
            <w:shd w:val="clear" w:color="auto" w:fill="auto"/>
            <w:vAlign w:val="center"/>
          </w:tcPr>
          <w:p w14:paraId="1B05D44A">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736" w:type="pct"/>
            <w:vMerge w:val="restart"/>
            <w:shd w:val="clear" w:color="auto" w:fill="auto"/>
            <w:vAlign w:val="center"/>
          </w:tcPr>
          <w:p w14:paraId="01859806">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对下施工分包</w:t>
            </w:r>
          </w:p>
        </w:tc>
        <w:tc>
          <w:tcPr>
            <w:tcW w:w="550" w:type="pct"/>
            <w:shd w:val="clear" w:color="auto" w:fill="auto"/>
            <w:vAlign w:val="center"/>
          </w:tcPr>
          <w:p w14:paraId="0E8C7496">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877" w:type="pct"/>
            <w:vMerge w:val="restart"/>
            <w:shd w:val="clear" w:color="auto" w:fill="auto"/>
            <w:vAlign w:val="center"/>
          </w:tcPr>
          <w:p w14:paraId="3F445E42">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u w:val="single"/>
                <w:lang w:val="en-US" w:eastAsia="zh-CN" w:bidi="ar"/>
              </w:rPr>
              <w:t>20</w:t>
            </w:r>
            <w:r>
              <w:rPr>
                <w:rFonts w:hint="default" w:ascii="Times New Roman" w:hAnsi="Times New Roman" w:eastAsia="宋体" w:cs="Times New Roman"/>
                <w:color w:val="auto"/>
                <w:kern w:val="0"/>
                <w:sz w:val="20"/>
                <w:szCs w:val="20"/>
                <w:highlight w:val="none"/>
                <w:lang w:bidi="ar"/>
              </w:rPr>
              <w:t>亿元</w:t>
            </w:r>
            <w:r>
              <w:rPr>
                <w:rFonts w:ascii="Times New Roman" w:hAnsi="Times New Roman" w:eastAsia="宋体" w:cs="Times New Roman"/>
                <w:color w:val="auto"/>
                <w:kern w:val="0"/>
                <w:sz w:val="20"/>
                <w:szCs w:val="20"/>
                <w:highlight w:val="none"/>
                <w:lang w:bidi="ar"/>
              </w:rPr>
              <w:t>/</w:t>
            </w:r>
            <w:r>
              <w:rPr>
                <w:rFonts w:hint="default" w:ascii="Times New Roman" w:hAnsi="Times New Roman" w:eastAsia="宋体" w:cs="Times New Roman"/>
                <w:color w:val="auto"/>
                <w:kern w:val="0"/>
                <w:sz w:val="20"/>
                <w:szCs w:val="20"/>
                <w:highlight w:val="none"/>
                <w:lang w:bidi="ar"/>
              </w:rPr>
              <w:t>年</w:t>
            </w:r>
          </w:p>
        </w:tc>
        <w:tc>
          <w:tcPr>
            <w:tcW w:w="1531" w:type="pct"/>
            <w:shd w:val="clear" w:color="auto" w:fill="auto"/>
            <w:vAlign w:val="center"/>
          </w:tcPr>
          <w:p w14:paraId="5D80FEF1">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810" w:type="pct"/>
            <w:shd w:val="clear" w:color="auto" w:fill="auto"/>
            <w:vAlign w:val="center"/>
          </w:tcPr>
          <w:p w14:paraId="42FE84B0">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6.40</w:t>
            </w:r>
            <w:r>
              <w:rPr>
                <w:rFonts w:hint="eastAsia" w:ascii="Times New Roman" w:hAnsi="Times New Roman" w:eastAsia="宋体" w:cs="Times New Roman"/>
                <w:color w:val="auto"/>
                <w:kern w:val="0"/>
                <w:sz w:val="21"/>
                <w:szCs w:val="21"/>
                <w:highlight w:val="none"/>
                <w:lang w:eastAsia="zh-CN" w:bidi="ar"/>
              </w:rPr>
              <w:t>‰</w:t>
            </w:r>
          </w:p>
        </w:tc>
      </w:tr>
      <w:tr w14:paraId="70947C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492" w:type="pct"/>
            <w:vMerge w:val="continue"/>
            <w:shd w:val="clear" w:color="auto" w:fill="auto"/>
            <w:vAlign w:val="center"/>
          </w:tcPr>
          <w:p w14:paraId="39248ABF">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736" w:type="pct"/>
            <w:vMerge w:val="continue"/>
            <w:shd w:val="clear" w:color="auto" w:fill="auto"/>
            <w:vAlign w:val="center"/>
          </w:tcPr>
          <w:p w14:paraId="28CBCDCD">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550" w:type="pct"/>
            <w:shd w:val="clear" w:color="auto" w:fill="auto"/>
            <w:vAlign w:val="center"/>
          </w:tcPr>
          <w:p w14:paraId="4EC05FF2">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877" w:type="pct"/>
            <w:vMerge w:val="continue"/>
            <w:shd w:val="clear" w:color="auto" w:fill="auto"/>
            <w:vAlign w:val="center"/>
          </w:tcPr>
          <w:p w14:paraId="509C2AAA">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1531" w:type="pct"/>
            <w:shd w:val="clear" w:color="auto" w:fill="auto"/>
            <w:vAlign w:val="center"/>
          </w:tcPr>
          <w:p w14:paraId="340B1848">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w:t>
            </w:r>
          </w:p>
        </w:tc>
        <w:tc>
          <w:tcPr>
            <w:tcW w:w="810" w:type="pct"/>
            <w:shd w:val="clear" w:color="auto" w:fill="auto"/>
            <w:vAlign w:val="center"/>
          </w:tcPr>
          <w:p w14:paraId="40A9DB15">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6.40</w:t>
            </w:r>
            <w:r>
              <w:rPr>
                <w:rFonts w:hint="eastAsia" w:ascii="Times New Roman" w:hAnsi="Times New Roman" w:eastAsia="宋体" w:cs="Times New Roman"/>
                <w:color w:val="auto"/>
                <w:kern w:val="0"/>
                <w:sz w:val="21"/>
                <w:szCs w:val="21"/>
                <w:highlight w:val="none"/>
                <w:lang w:eastAsia="zh-CN" w:bidi="ar"/>
              </w:rPr>
              <w:t>‰</w:t>
            </w:r>
          </w:p>
        </w:tc>
      </w:tr>
      <w:tr w14:paraId="4CFA09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492" w:type="pct"/>
            <w:vMerge w:val="continue"/>
            <w:shd w:val="clear" w:color="auto" w:fill="auto"/>
            <w:vAlign w:val="center"/>
          </w:tcPr>
          <w:p w14:paraId="3AE8F30F">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736" w:type="pct"/>
            <w:vMerge w:val="restart"/>
            <w:shd w:val="clear" w:color="auto" w:fill="auto"/>
            <w:vAlign w:val="center"/>
          </w:tcPr>
          <w:p w14:paraId="55ED9C53">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对下劳务合作</w:t>
            </w:r>
          </w:p>
        </w:tc>
        <w:tc>
          <w:tcPr>
            <w:tcW w:w="550" w:type="pct"/>
            <w:shd w:val="clear" w:color="auto" w:fill="auto"/>
            <w:vAlign w:val="center"/>
          </w:tcPr>
          <w:p w14:paraId="64B35329">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877" w:type="pct"/>
            <w:vMerge w:val="restart"/>
            <w:shd w:val="clear" w:color="auto" w:fill="auto"/>
            <w:vAlign w:val="center"/>
          </w:tcPr>
          <w:p w14:paraId="4D43B8E9">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u w:val="single"/>
                <w:lang w:val="en-US" w:eastAsia="zh-CN" w:bidi="ar"/>
              </w:rPr>
              <w:t>30</w:t>
            </w:r>
            <w:r>
              <w:rPr>
                <w:rFonts w:hint="default" w:ascii="Times New Roman" w:hAnsi="Times New Roman" w:eastAsia="宋体" w:cs="Times New Roman"/>
                <w:color w:val="auto"/>
                <w:kern w:val="0"/>
                <w:sz w:val="20"/>
                <w:szCs w:val="20"/>
                <w:highlight w:val="none"/>
                <w:lang w:bidi="ar"/>
              </w:rPr>
              <w:t>亿元</w:t>
            </w:r>
            <w:r>
              <w:rPr>
                <w:rFonts w:ascii="Times New Roman" w:hAnsi="Times New Roman" w:eastAsia="宋体" w:cs="Times New Roman"/>
                <w:color w:val="auto"/>
                <w:kern w:val="0"/>
                <w:sz w:val="20"/>
                <w:szCs w:val="20"/>
                <w:highlight w:val="none"/>
                <w:lang w:bidi="ar"/>
              </w:rPr>
              <w:t>/</w:t>
            </w:r>
            <w:r>
              <w:rPr>
                <w:rFonts w:hint="default" w:ascii="Times New Roman" w:hAnsi="Times New Roman" w:eastAsia="宋体" w:cs="Times New Roman"/>
                <w:color w:val="auto"/>
                <w:kern w:val="0"/>
                <w:sz w:val="20"/>
                <w:szCs w:val="20"/>
                <w:highlight w:val="none"/>
                <w:lang w:bidi="ar"/>
              </w:rPr>
              <w:t>年</w:t>
            </w:r>
          </w:p>
        </w:tc>
        <w:tc>
          <w:tcPr>
            <w:tcW w:w="1531" w:type="pct"/>
            <w:shd w:val="clear" w:color="auto" w:fill="auto"/>
            <w:vAlign w:val="center"/>
          </w:tcPr>
          <w:p w14:paraId="0440BB0C">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810" w:type="pct"/>
            <w:shd w:val="clear" w:color="auto" w:fill="auto"/>
            <w:vAlign w:val="center"/>
          </w:tcPr>
          <w:p w14:paraId="1784D532">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7.00</w:t>
            </w:r>
            <w:r>
              <w:rPr>
                <w:rFonts w:hint="eastAsia" w:ascii="Times New Roman" w:hAnsi="Times New Roman" w:eastAsia="宋体" w:cs="Times New Roman"/>
                <w:color w:val="auto"/>
                <w:kern w:val="0"/>
                <w:sz w:val="21"/>
                <w:szCs w:val="21"/>
                <w:highlight w:val="none"/>
                <w:lang w:eastAsia="zh-CN" w:bidi="ar"/>
              </w:rPr>
              <w:t>‰</w:t>
            </w:r>
          </w:p>
        </w:tc>
      </w:tr>
      <w:tr w14:paraId="43DE18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92" w:type="pct"/>
            <w:vMerge w:val="continue"/>
            <w:shd w:val="clear" w:color="auto" w:fill="auto"/>
            <w:vAlign w:val="center"/>
          </w:tcPr>
          <w:p w14:paraId="26412BCD">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736" w:type="pct"/>
            <w:vMerge w:val="continue"/>
            <w:shd w:val="clear" w:color="auto" w:fill="auto"/>
            <w:vAlign w:val="center"/>
          </w:tcPr>
          <w:p w14:paraId="29C372F9">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550" w:type="pct"/>
            <w:shd w:val="clear" w:color="auto" w:fill="auto"/>
            <w:vAlign w:val="center"/>
          </w:tcPr>
          <w:p w14:paraId="6FC4B1E5">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877" w:type="pct"/>
            <w:vMerge w:val="continue"/>
            <w:shd w:val="clear" w:color="auto" w:fill="auto"/>
            <w:vAlign w:val="center"/>
          </w:tcPr>
          <w:p w14:paraId="1D7D6C97">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1531" w:type="pct"/>
            <w:shd w:val="clear" w:color="auto" w:fill="auto"/>
            <w:vAlign w:val="center"/>
          </w:tcPr>
          <w:p w14:paraId="1DCAD724">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w:t>
            </w:r>
          </w:p>
        </w:tc>
        <w:tc>
          <w:tcPr>
            <w:tcW w:w="810" w:type="pct"/>
            <w:shd w:val="clear" w:color="auto" w:fill="auto"/>
            <w:vAlign w:val="center"/>
          </w:tcPr>
          <w:p w14:paraId="461E3A57">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7.00</w:t>
            </w:r>
            <w:r>
              <w:rPr>
                <w:rFonts w:hint="eastAsia" w:ascii="Times New Roman" w:hAnsi="Times New Roman" w:eastAsia="宋体" w:cs="Times New Roman"/>
                <w:color w:val="auto"/>
                <w:kern w:val="0"/>
                <w:sz w:val="21"/>
                <w:szCs w:val="21"/>
                <w:highlight w:val="none"/>
                <w:lang w:eastAsia="zh-CN" w:bidi="ar"/>
              </w:rPr>
              <w:t>‰</w:t>
            </w:r>
          </w:p>
        </w:tc>
      </w:tr>
    </w:tbl>
    <w:p w14:paraId="691EF60A">
      <w:pPr>
        <w:keepNext w:val="0"/>
        <w:snapToGrid w:val="0"/>
        <w:spacing w:line="540" w:lineRule="exact"/>
        <w:ind w:firstLine="562"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lang w:val="en-US" w:eastAsia="zh-CN"/>
        </w:rPr>
        <w:t>注：</w:t>
      </w:r>
      <w:r>
        <w:rPr>
          <w:rFonts w:hint="eastAsia" w:asciiTheme="minorEastAsia" w:hAnsiTheme="minorEastAsia" w:cstheme="minorEastAsia"/>
          <w:b/>
          <w:bCs/>
          <w:color w:val="auto"/>
          <w:sz w:val="28"/>
          <w:szCs w:val="28"/>
          <w:highlight w:val="none"/>
        </w:rPr>
        <w:t>附加免费延期180天、</w:t>
      </w:r>
      <w:r>
        <w:rPr>
          <w:rFonts w:hint="eastAsia" w:asciiTheme="minorEastAsia" w:hAnsiTheme="minorEastAsia" w:cstheme="minorEastAsia"/>
          <w:b/>
          <w:bCs/>
          <w:color w:val="auto"/>
          <w:sz w:val="28"/>
          <w:szCs w:val="28"/>
          <w:highlight w:val="none"/>
          <w:lang w:eastAsia="zh-CN"/>
        </w:rPr>
        <w:t>三者保额每次事故赔偿限额300万元</w:t>
      </w:r>
      <w:r>
        <w:rPr>
          <w:rFonts w:hint="eastAsia" w:asciiTheme="minorEastAsia" w:hAnsiTheme="minorEastAsia" w:cstheme="minorEastAsia"/>
          <w:b/>
          <w:bCs/>
          <w:color w:val="auto"/>
          <w:sz w:val="28"/>
          <w:szCs w:val="28"/>
          <w:highlight w:val="none"/>
        </w:rPr>
        <w:t>，附加费率0.</w:t>
      </w:r>
      <w:r>
        <w:rPr>
          <w:rFonts w:hint="eastAsia" w:asciiTheme="minorEastAsia" w:hAnsiTheme="minorEastAsia" w:cstheme="minorEastAsia"/>
          <w:b/>
          <w:bCs/>
          <w:color w:val="auto"/>
          <w:sz w:val="28"/>
          <w:szCs w:val="28"/>
          <w:highlight w:val="none"/>
          <w:lang w:val="en-US" w:eastAsia="zh-CN"/>
        </w:rPr>
        <w:t>10</w:t>
      </w:r>
      <w:r>
        <w:rPr>
          <w:rFonts w:hint="eastAsia" w:ascii="Times New Roman" w:hAnsi="Times New Roman" w:eastAsia="宋体" w:cs="Times New Roman"/>
          <w:b/>
          <w:bCs/>
          <w:color w:val="auto"/>
          <w:kern w:val="0"/>
          <w:sz w:val="28"/>
          <w:szCs w:val="28"/>
          <w:highlight w:val="none"/>
          <w:lang w:eastAsia="zh-CN" w:bidi="ar"/>
        </w:rPr>
        <w:t>‰</w:t>
      </w:r>
      <w:r>
        <w:rPr>
          <w:rFonts w:hint="eastAsia" w:asciiTheme="minorEastAsia" w:hAnsiTheme="minorEastAsia" w:cstheme="minorEastAsia"/>
          <w:b/>
          <w:bCs/>
          <w:color w:val="auto"/>
          <w:sz w:val="28"/>
          <w:szCs w:val="28"/>
          <w:highlight w:val="none"/>
        </w:rPr>
        <w:t>；附加建筑、安装施工机具等被保内容，附加费率0.</w:t>
      </w:r>
      <w:r>
        <w:rPr>
          <w:rFonts w:hint="eastAsia" w:asciiTheme="minorEastAsia" w:hAnsiTheme="minorEastAsia" w:cstheme="minorEastAsia"/>
          <w:b/>
          <w:bCs/>
          <w:color w:val="auto"/>
          <w:sz w:val="28"/>
          <w:szCs w:val="28"/>
          <w:highlight w:val="none"/>
          <w:lang w:val="en-US" w:eastAsia="zh-CN"/>
        </w:rPr>
        <w:t>10</w:t>
      </w:r>
      <w:r>
        <w:rPr>
          <w:rFonts w:hint="eastAsia" w:ascii="Times New Roman" w:hAnsi="Times New Roman" w:eastAsia="宋体" w:cs="Times New Roman"/>
          <w:b/>
          <w:bCs/>
          <w:color w:val="auto"/>
          <w:kern w:val="0"/>
          <w:sz w:val="28"/>
          <w:szCs w:val="28"/>
          <w:highlight w:val="none"/>
          <w:lang w:eastAsia="zh-CN" w:bidi="ar"/>
        </w:rPr>
        <w:t>‰</w:t>
      </w:r>
      <w:r>
        <w:rPr>
          <w:rFonts w:hint="eastAsia" w:asciiTheme="minorEastAsia" w:hAnsiTheme="minorEastAsia" w:cstheme="minorEastAsia"/>
          <w:b/>
          <w:bCs/>
          <w:color w:val="auto"/>
          <w:sz w:val="28"/>
          <w:szCs w:val="28"/>
          <w:highlight w:val="none"/>
        </w:rPr>
        <w:t>，附加震动、移动条款、地上建筑开裂责任条款，附加费率0.</w:t>
      </w:r>
      <w:r>
        <w:rPr>
          <w:rFonts w:hint="eastAsia" w:asciiTheme="minorEastAsia" w:hAnsiTheme="minorEastAsia" w:cstheme="minorEastAsia"/>
          <w:b/>
          <w:bCs/>
          <w:color w:val="auto"/>
          <w:sz w:val="28"/>
          <w:szCs w:val="28"/>
          <w:highlight w:val="none"/>
          <w:lang w:val="en-US" w:eastAsia="zh-CN"/>
        </w:rPr>
        <w:t>10</w:t>
      </w:r>
      <w:r>
        <w:rPr>
          <w:rFonts w:hint="eastAsia" w:ascii="Times New Roman" w:hAnsi="Times New Roman" w:eastAsia="宋体" w:cs="Times New Roman"/>
          <w:b/>
          <w:bCs/>
          <w:color w:val="auto"/>
          <w:kern w:val="0"/>
          <w:sz w:val="28"/>
          <w:szCs w:val="28"/>
          <w:highlight w:val="none"/>
          <w:lang w:eastAsia="zh-CN" w:bidi="ar"/>
        </w:rPr>
        <w:t>‰</w:t>
      </w:r>
      <w:r>
        <w:rPr>
          <w:rFonts w:hint="eastAsia" w:asciiTheme="minorEastAsia" w:hAnsiTheme="minorEastAsia" w:cstheme="minorEastAsia"/>
          <w:b/>
          <w:bCs/>
          <w:color w:val="auto"/>
          <w:sz w:val="28"/>
          <w:szCs w:val="28"/>
          <w:highlight w:val="none"/>
          <w:lang w:eastAsia="zh-CN"/>
        </w:rPr>
        <w:t>，</w:t>
      </w:r>
      <w:r>
        <w:rPr>
          <w:rFonts w:hint="eastAsia" w:asciiTheme="minorEastAsia" w:hAnsiTheme="minorEastAsia" w:cstheme="minorEastAsia"/>
          <w:b/>
          <w:bCs/>
          <w:color w:val="auto"/>
          <w:sz w:val="28"/>
          <w:szCs w:val="28"/>
          <w:highlight w:val="none"/>
        </w:rPr>
        <w:t>该费用为不可竞争费，在</w:t>
      </w:r>
      <w:r>
        <w:rPr>
          <w:rFonts w:hint="eastAsia" w:asciiTheme="minorEastAsia" w:hAnsiTheme="minorEastAsia" w:cstheme="minorEastAsia"/>
          <w:b/>
          <w:bCs/>
          <w:color w:val="auto"/>
          <w:sz w:val="28"/>
          <w:szCs w:val="28"/>
          <w:highlight w:val="none"/>
          <w:lang w:eastAsia="zh-CN"/>
        </w:rPr>
        <w:t>响应人</w:t>
      </w:r>
      <w:r>
        <w:rPr>
          <w:rFonts w:hint="eastAsia" w:asciiTheme="minorEastAsia" w:hAnsiTheme="minorEastAsia" w:cstheme="minorEastAsia"/>
          <w:b/>
          <w:bCs/>
          <w:color w:val="auto"/>
          <w:sz w:val="28"/>
          <w:szCs w:val="28"/>
          <w:highlight w:val="none"/>
        </w:rPr>
        <w:t>报价时和合同签订时不允调整。</w:t>
      </w:r>
    </w:p>
    <w:p w14:paraId="752B0418">
      <w:pPr>
        <w:keepNext w:val="0"/>
        <w:snapToGrid w:val="0"/>
        <w:spacing w:line="54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2.6 计划服务期</w:t>
      </w:r>
      <w:r>
        <w:rPr>
          <w:rFonts w:hint="eastAsia" w:asciiTheme="minorEastAsia" w:hAnsiTheme="minorEastAsia" w:cstheme="minorEastAsia"/>
          <w:color w:val="auto"/>
          <w:sz w:val="28"/>
          <w:szCs w:val="28"/>
          <w:highlight w:val="none"/>
        </w:rPr>
        <w:t>：本次采购采用</w:t>
      </w:r>
      <w:r>
        <w:rPr>
          <w:rFonts w:hint="eastAsia" w:asciiTheme="minorEastAsia" w:hAnsiTheme="minorEastAsia" w:cstheme="minorEastAsia"/>
          <w:color w:val="auto"/>
          <w:sz w:val="28"/>
          <w:szCs w:val="28"/>
          <w:highlight w:val="none"/>
          <w:lang w:eastAsia="zh-CN"/>
        </w:rPr>
        <w:t>1年+1年模式</w:t>
      </w:r>
      <w:r>
        <w:rPr>
          <w:rFonts w:hint="eastAsia" w:asciiTheme="minorEastAsia" w:hAnsiTheme="minorEastAsia" w:cstheme="minorEastAsia"/>
          <w:color w:val="auto"/>
          <w:sz w:val="28"/>
          <w:szCs w:val="28"/>
          <w:highlight w:val="none"/>
        </w:rPr>
        <w:t>。</w:t>
      </w:r>
    </w:p>
    <w:p w14:paraId="44E713B4">
      <w:pPr>
        <w:keepNext w:val="0"/>
        <w:snapToGrid w:val="0"/>
        <w:spacing w:line="54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2.7 评审办法</w:t>
      </w:r>
      <w:r>
        <w:rPr>
          <w:rFonts w:hint="eastAsia" w:asciiTheme="minorEastAsia" w:hAnsiTheme="minorEastAsia" w:cstheme="minorEastAsia"/>
          <w:color w:val="auto"/>
          <w:sz w:val="28"/>
          <w:szCs w:val="28"/>
          <w:highlight w:val="none"/>
        </w:rPr>
        <w:t>：</w:t>
      </w:r>
      <w:r>
        <w:rPr>
          <w:rFonts w:hint="eastAsia" w:asciiTheme="minorEastAsia" w:hAnsiTheme="minorEastAsia" w:cstheme="minorEastAsia"/>
          <w:b/>
          <w:bCs/>
          <w:color w:val="auto"/>
          <w:sz w:val="28"/>
          <w:szCs w:val="28"/>
          <w:highlight w:val="none"/>
        </w:rPr>
        <w:t>最低价法</w:t>
      </w:r>
      <w:r>
        <w:rPr>
          <w:rFonts w:hint="eastAsia" w:asciiTheme="minorEastAsia" w:hAnsiTheme="minorEastAsia" w:cstheme="minorEastAsia"/>
          <w:b w:val="0"/>
          <w:bCs w:val="0"/>
          <w:color w:val="auto"/>
          <w:sz w:val="28"/>
          <w:szCs w:val="28"/>
          <w:highlight w:val="none"/>
        </w:rPr>
        <w:t>（总</w:t>
      </w:r>
      <w:r>
        <w:rPr>
          <w:rFonts w:hint="eastAsia" w:asciiTheme="minorEastAsia" w:hAnsiTheme="minorEastAsia" w:cstheme="minorEastAsia"/>
          <w:b w:val="0"/>
          <w:bCs w:val="0"/>
          <w:color w:val="auto"/>
          <w:sz w:val="28"/>
          <w:szCs w:val="28"/>
          <w:highlight w:val="none"/>
          <w:u w:val="none"/>
        </w:rPr>
        <w:t>费率均价下浮</w:t>
      </w:r>
      <w:r>
        <w:rPr>
          <w:rFonts w:hint="eastAsia" w:asciiTheme="minorEastAsia" w:hAnsiTheme="minorEastAsia" w:cstheme="minorEastAsia"/>
          <w:b w:val="0"/>
          <w:bCs w:val="0"/>
          <w:color w:val="auto"/>
          <w:sz w:val="28"/>
          <w:szCs w:val="28"/>
          <w:highlight w:val="none"/>
        </w:rPr>
        <w:t>比例最高）</w:t>
      </w:r>
      <w:r>
        <w:rPr>
          <w:rFonts w:hint="eastAsia" w:asciiTheme="minorEastAsia" w:hAnsiTheme="minorEastAsia" w:cstheme="minorEastAsia"/>
          <w:color w:val="auto"/>
          <w:sz w:val="28"/>
          <w:szCs w:val="28"/>
          <w:highlight w:val="none"/>
        </w:rPr>
        <w:t>。</w:t>
      </w:r>
    </w:p>
    <w:p w14:paraId="575B9482">
      <w:pPr>
        <w:pStyle w:val="14"/>
        <w:keepNext w:val="0"/>
        <w:keepLines w:val="0"/>
        <w:pageBreakBefore w:val="0"/>
        <w:widowControl w:val="0"/>
        <w:kinsoku/>
        <w:wordWrap/>
        <w:overflowPunct/>
        <w:topLinePunct w:val="0"/>
        <w:autoSpaceDE/>
        <w:autoSpaceDN/>
        <w:bidi w:val="0"/>
        <w:adjustRightInd/>
        <w:spacing w:after="0"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2.7.1 根据符合资格要求且在在</w:t>
      </w:r>
      <w:r>
        <w:rPr>
          <w:rFonts w:hint="eastAsia" w:asciiTheme="minorEastAsia" w:hAnsiTheme="minorEastAsia" w:cstheme="minorEastAsia"/>
          <w:color w:val="auto"/>
          <w:sz w:val="28"/>
          <w:szCs w:val="28"/>
          <w:highlight w:val="none"/>
          <w:lang w:eastAsia="zh-CN"/>
        </w:rPr>
        <w:t>采购人</w:t>
      </w:r>
      <w:r>
        <w:rPr>
          <w:rFonts w:hint="eastAsia" w:asciiTheme="minorEastAsia" w:hAnsiTheme="minorEastAsia" w:cstheme="minorEastAsia"/>
          <w:color w:val="auto"/>
          <w:sz w:val="28"/>
          <w:szCs w:val="28"/>
          <w:highlight w:val="none"/>
        </w:rPr>
        <w:t>控制价基础上所报总费率</w:t>
      </w:r>
      <w:r>
        <w:rPr>
          <w:rFonts w:hint="eastAsia" w:asciiTheme="minorEastAsia" w:hAnsiTheme="minorEastAsia" w:cstheme="minorEastAsia"/>
          <w:color w:val="auto"/>
          <w:sz w:val="28"/>
          <w:szCs w:val="28"/>
          <w:highlight w:val="none"/>
          <w:lang w:eastAsia="zh-CN"/>
        </w:rPr>
        <w:t>百分比</w:t>
      </w:r>
      <w:r>
        <w:rPr>
          <w:rFonts w:hint="eastAsia" w:asciiTheme="minorEastAsia" w:hAnsiTheme="minorEastAsia" w:cstheme="minorEastAsia"/>
          <w:color w:val="auto"/>
          <w:sz w:val="28"/>
          <w:szCs w:val="28"/>
          <w:highlight w:val="none"/>
        </w:rPr>
        <w:t>均价下浮比例最高的原则确定成交方（以报价函中大写文字为准），并计算出含可抵扣增值税每一个清单子目单价</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cstheme="minorEastAsia"/>
          <w:b/>
          <w:bCs/>
          <w:color w:val="auto"/>
          <w:sz w:val="28"/>
          <w:szCs w:val="28"/>
          <w:highlight w:val="none"/>
          <w:lang w:val="en-US" w:eastAsia="zh-CN"/>
        </w:rPr>
        <w:t>计算结果保留两位小数，如**.**‰（千分比）</w:t>
      </w:r>
      <w:r>
        <w:rPr>
          <w:rFonts w:hint="eastAsia" w:asciiTheme="minorEastAsia" w:hAnsiTheme="minorEastAsia" w:cstheme="minorEastAsia"/>
          <w:color w:val="auto"/>
          <w:sz w:val="28"/>
          <w:szCs w:val="28"/>
          <w:highlight w:val="none"/>
        </w:rPr>
        <w:t>。</w:t>
      </w:r>
    </w:p>
    <w:p w14:paraId="52B30376">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2.7.2 本次询比划分为</w:t>
      </w:r>
      <w:r>
        <w:rPr>
          <w:rFonts w:hint="eastAsia" w:asciiTheme="minorEastAsia" w:hAnsiTheme="minorEastAsia" w:cstheme="minorEastAsia"/>
          <w:color w:val="auto"/>
          <w:sz w:val="28"/>
          <w:szCs w:val="28"/>
          <w:highlight w:val="none"/>
          <w:lang w:val="en-US" w:eastAsia="zh-CN"/>
        </w:rPr>
        <w:t>一</w:t>
      </w:r>
      <w:r>
        <w:rPr>
          <w:rFonts w:hint="eastAsia" w:asciiTheme="minorEastAsia" w:hAnsiTheme="minorEastAsia" w:cstheme="minorEastAsia"/>
          <w:color w:val="auto"/>
          <w:sz w:val="28"/>
          <w:szCs w:val="28"/>
          <w:highlight w:val="none"/>
        </w:rPr>
        <w:t>个标包。</w:t>
      </w:r>
      <w:r>
        <w:rPr>
          <w:rFonts w:hint="eastAsia" w:asciiTheme="minorEastAsia" w:hAnsiTheme="minorEastAsia" w:cstheme="minorEastAsia"/>
          <w:b/>
          <w:bCs/>
          <w:color w:val="auto"/>
          <w:sz w:val="28"/>
          <w:szCs w:val="28"/>
          <w:highlight w:val="none"/>
          <w:lang w:eastAsia="zh-CN"/>
        </w:rPr>
        <w:t>响应人</w:t>
      </w:r>
      <w:r>
        <w:rPr>
          <w:rFonts w:hint="eastAsia" w:asciiTheme="minorEastAsia" w:hAnsiTheme="minorEastAsia" w:cstheme="minorEastAsia"/>
          <w:b/>
          <w:bCs/>
          <w:color w:val="auto"/>
          <w:sz w:val="28"/>
          <w:szCs w:val="28"/>
          <w:highlight w:val="none"/>
        </w:rPr>
        <w:t>按照采购方的格式进行响应，评审时以</w:t>
      </w:r>
      <w:r>
        <w:rPr>
          <w:rFonts w:hint="eastAsia" w:asciiTheme="minorEastAsia" w:hAnsiTheme="minorEastAsia" w:cstheme="minorEastAsia"/>
          <w:b/>
          <w:bCs/>
          <w:color w:val="auto"/>
          <w:sz w:val="28"/>
          <w:szCs w:val="28"/>
          <w:highlight w:val="none"/>
          <w:lang w:eastAsia="zh-CN"/>
        </w:rPr>
        <w:t>响应人</w:t>
      </w:r>
      <w:r>
        <w:rPr>
          <w:rFonts w:hint="eastAsia" w:asciiTheme="minorEastAsia" w:hAnsiTheme="minorEastAsia" w:cstheme="minorEastAsia"/>
          <w:b/>
          <w:bCs/>
          <w:color w:val="auto"/>
          <w:sz w:val="28"/>
          <w:szCs w:val="28"/>
          <w:highlight w:val="none"/>
        </w:rPr>
        <w:t>中响应费率下浮比例</w:t>
      </w:r>
      <w:r>
        <w:rPr>
          <w:rFonts w:hint="eastAsia" w:asciiTheme="minorEastAsia" w:hAnsiTheme="minorEastAsia" w:cstheme="minorEastAsia"/>
          <w:b/>
          <w:bCs/>
          <w:color w:val="auto"/>
          <w:sz w:val="28"/>
          <w:szCs w:val="28"/>
          <w:highlight w:val="none"/>
          <w:lang w:val="en-US" w:eastAsia="zh-CN"/>
        </w:rPr>
        <w:t>并经谈判后的价格</w:t>
      </w:r>
      <w:r>
        <w:rPr>
          <w:rFonts w:hint="eastAsia" w:asciiTheme="minorEastAsia" w:hAnsiTheme="minorEastAsia" w:cstheme="minorEastAsia"/>
          <w:b/>
          <w:bCs/>
          <w:color w:val="auto"/>
          <w:sz w:val="28"/>
          <w:szCs w:val="28"/>
          <w:highlight w:val="none"/>
        </w:rPr>
        <w:t>的作为成交</w:t>
      </w:r>
      <w:r>
        <w:rPr>
          <w:rFonts w:hint="eastAsia" w:asciiTheme="minorEastAsia" w:hAnsiTheme="minorEastAsia" w:cstheme="minorEastAsia"/>
          <w:b/>
          <w:bCs/>
          <w:color w:val="auto"/>
          <w:sz w:val="28"/>
          <w:szCs w:val="28"/>
          <w:highlight w:val="none"/>
          <w:lang w:val="en-US" w:eastAsia="zh-CN"/>
        </w:rPr>
        <w:t>价</w:t>
      </w:r>
      <w:r>
        <w:rPr>
          <w:rFonts w:hint="eastAsia" w:asciiTheme="minorEastAsia" w:hAnsiTheme="minorEastAsia" w:cstheme="minorEastAsia"/>
          <w:color w:val="auto"/>
          <w:sz w:val="28"/>
          <w:szCs w:val="28"/>
          <w:highlight w:val="none"/>
          <w:lang w:eastAsia="zh-CN"/>
        </w:rPr>
        <w:t>。</w:t>
      </w:r>
    </w:p>
    <w:p w14:paraId="0593E784">
      <w:pPr>
        <w:pStyle w:val="3"/>
        <w:keepNext w:val="0"/>
        <w:keepLines w:val="0"/>
        <w:numPr>
          <w:ilvl w:val="0"/>
          <w:numId w:val="2"/>
        </w:numPr>
        <w:snapToGrid w:val="0"/>
        <w:spacing w:line="540" w:lineRule="exact"/>
        <w:ind w:left="0" w:firstLine="562" w:firstLineChars="200"/>
        <w:jc w:val="left"/>
        <w:rPr>
          <w:rFonts w:hint="eastAsia" w:asciiTheme="minorEastAsia" w:hAnsiTheme="minorEastAsia" w:eastAsiaTheme="minorEastAsia" w:cstheme="minorEastAsia"/>
          <w:bCs w:val="0"/>
          <w:color w:val="auto"/>
          <w:szCs w:val="28"/>
          <w:highlight w:val="none"/>
        </w:rPr>
      </w:pPr>
      <w:bookmarkStart w:id="18" w:name="_Toc22379_WPSOffice_Level2"/>
      <w:bookmarkStart w:id="19" w:name="_Toc31673_WPSOffice_Level2"/>
      <w:bookmarkStart w:id="20" w:name="_Toc29516_WPSOffice_Level2"/>
      <w:bookmarkStart w:id="21" w:name="_Toc1622_WPSOffice_Level2"/>
      <w:bookmarkStart w:id="22" w:name="_Toc3714"/>
      <w:bookmarkStart w:id="23" w:name="_Toc6388"/>
      <w:bookmarkStart w:id="24" w:name="_Toc525632587"/>
      <w:r>
        <w:rPr>
          <w:rFonts w:hint="eastAsia" w:asciiTheme="minorEastAsia" w:hAnsiTheme="minorEastAsia" w:eastAsiaTheme="minorEastAsia" w:cstheme="minorEastAsia"/>
          <w:bCs w:val="0"/>
          <w:color w:val="auto"/>
          <w:szCs w:val="28"/>
          <w:highlight w:val="none"/>
        </w:rPr>
        <w:t>响应人资格条件</w:t>
      </w:r>
      <w:bookmarkEnd w:id="18"/>
      <w:bookmarkEnd w:id="19"/>
      <w:bookmarkEnd w:id="20"/>
      <w:bookmarkEnd w:id="21"/>
      <w:bookmarkEnd w:id="22"/>
      <w:bookmarkEnd w:id="23"/>
      <w:bookmarkEnd w:id="24"/>
    </w:p>
    <w:p w14:paraId="633338A7">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 本次采购要求</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须同时具备：</w:t>
      </w:r>
    </w:p>
    <w:p w14:paraId="47E69A41">
      <w:pPr>
        <w:keepNext w:val="0"/>
        <w:snapToGrid w:val="0"/>
        <w:spacing w:line="540" w:lineRule="exact"/>
        <w:ind w:firstLine="560" w:firstLineChars="200"/>
        <w:jc w:val="left"/>
        <w:outlineLvl w:val="2"/>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3.1.1资质最低要求：</w:t>
      </w:r>
    </w:p>
    <w:p w14:paraId="186B0068">
      <w:pPr>
        <w:keepNext w:val="0"/>
        <w:snapToGrid w:val="0"/>
        <w:spacing w:line="540" w:lineRule="exact"/>
        <w:ind w:firstLine="560" w:firstLineChars="200"/>
        <w:jc w:val="left"/>
        <w:outlineLvl w:val="2"/>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①</w:t>
      </w:r>
      <w:r>
        <w:rPr>
          <w:rFonts w:hint="eastAsia" w:asciiTheme="minorEastAsia" w:hAnsiTheme="minorEastAsia" w:cstheme="minorEastAsia"/>
          <w:color w:val="auto"/>
          <w:sz w:val="28"/>
          <w:szCs w:val="28"/>
          <w:highlight w:val="none"/>
        </w:rPr>
        <w:t>持有有效的营业执照；</w:t>
      </w:r>
    </w:p>
    <w:p w14:paraId="49DF13F3">
      <w:pPr>
        <w:keepNext w:val="0"/>
        <w:snapToGrid w:val="0"/>
        <w:spacing w:line="540" w:lineRule="exact"/>
        <w:ind w:firstLine="560" w:firstLineChars="200"/>
        <w:jc w:val="left"/>
        <w:outlineLvl w:val="2"/>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②</w:t>
      </w:r>
      <w:r>
        <w:rPr>
          <w:rFonts w:hint="eastAsia" w:asciiTheme="minorEastAsia" w:hAnsiTheme="minorEastAsia" w:cstheme="minorEastAsia"/>
          <w:color w:val="auto"/>
          <w:sz w:val="28"/>
          <w:szCs w:val="28"/>
          <w:highlight w:val="none"/>
        </w:rPr>
        <w:t>持有有效的中国银行保险监督管理委员会颁发的保险业务经营许可证；</w:t>
      </w:r>
    </w:p>
    <w:p w14:paraId="28474034">
      <w:pPr>
        <w:keepNext w:val="0"/>
        <w:snapToGrid w:val="0"/>
        <w:spacing w:line="540" w:lineRule="exact"/>
        <w:ind w:firstLine="560" w:firstLineChars="200"/>
        <w:jc w:val="left"/>
        <w:outlineLvl w:val="2"/>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3.1.2信誉要求最低要求：</w:t>
      </w:r>
    </w:p>
    <w:p w14:paraId="3C2A7773">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① 未被责令停业，暂扣或吊销执照，或吊销资质证书；</w:t>
      </w:r>
    </w:p>
    <w:p w14:paraId="636884F0">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② 未进入清算程序，或被宣告破产，或其他丧失履约能力的情形；</w:t>
      </w:r>
    </w:p>
    <w:p w14:paraId="6A447210">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③ 在国家企业信用信息公示系统（http://www.gsxt.gov.cn）中未被列入严重违法失信名单；</w:t>
      </w:r>
    </w:p>
    <w:p w14:paraId="195D0D6C">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④ 在“信用中国”网站（http://www.creditchina.gov.cn）中未被列入严重失信主体名单；</w:t>
      </w:r>
    </w:p>
    <w:p w14:paraId="27C9DA39">
      <w:pPr>
        <w:keepNext w:val="0"/>
        <w:snapToGrid w:val="0"/>
        <w:spacing w:line="540" w:lineRule="exact"/>
        <w:ind w:firstLine="560" w:firstLineChars="20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cstheme="minorEastAsia"/>
          <w:color w:val="auto"/>
          <w:sz w:val="28"/>
          <w:szCs w:val="28"/>
          <w:highlight w:val="none"/>
        </w:rPr>
        <w:t xml:space="preserve">⑤ </w:t>
      </w:r>
      <w:r>
        <w:rPr>
          <w:rFonts w:hint="eastAsia" w:asciiTheme="minorEastAsia" w:hAnsiTheme="minorEastAsia" w:eastAsiaTheme="minorEastAsia" w:cstheme="minorEastAsia"/>
          <w:color w:val="auto"/>
          <w:sz w:val="28"/>
          <w:szCs w:val="28"/>
          <w:highlight w:val="none"/>
        </w:rPr>
        <w:t>在“中国执行信息公开网”（http://zxgk.court.gov.cn）</w:t>
      </w:r>
      <w:r>
        <w:rPr>
          <w:rFonts w:hint="eastAsia" w:asciiTheme="minorEastAsia" w:hAnsiTheme="minorEastAsia" w:cstheme="minorEastAsia"/>
          <w:color w:val="auto"/>
          <w:sz w:val="28"/>
          <w:szCs w:val="28"/>
          <w:highlight w:val="none"/>
          <w:lang w:val="en-US" w:eastAsia="zh-CN"/>
        </w:rPr>
        <w:t>中</w:t>
      </w:r>
      <w:r>
        <w:rPr>
          <w:rFonts w:hint="eastAsia" w:asciiTheme="minorEastAsia" w:hAnsiTheme="minorEastAsia" w:eastAsiaTheme="minorEastAsia" w:cstheme="minorEastAsia"/>
          <w:color w:val="auto"/>
          <w:sz w:val="28"/>
          <w:szCs w:val="28"/>
          <w:highlight w:val="none"/>
        </w:rPr>
        <w:t>未被列入失信被执行人名单</w:t>
      </w:r>
      <w:r>
        <w:rPr>
          <w:rFonts w:hint="eastAsia" w:asciiTheme="minorEastAsia" w:hAnsiTheme="minorEastAsia" w:cstheme="minorEastAsia"/>
          <w:color w:val="auto"/>
          <w:sz w:val="28"/>
          <w:szCs w:val="28"/>
          <w:highlight w:val="none"/>
          <w:lang w:eastAsia="zh-CN"/>
        </w:rPr>
        <w:t>；</w:t>
      </w:r>
    </w:p>
    <w:p w14:paraId="03C33F60">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⑥</w:t>
      </w:r>
      <w:r>
        <w:rPr>
          <w:rFonts w:hint="eastAsia" w:asciiTheme="minorEastAsia" w:hAnsiTheme="minorEastAsia" w:cstheme="minorEastAsia"/>
          <w:color w:val="auto"/>
          <w:sz w:val="28"/>
          <w:szCs w:val="28"/>
          <w:highlight w:val="none"/>
        </w:rPr>
        <w:t xml:space="preserve"> 在近三年内（自响应文件递交截止之日向前追溯3年）</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或其法定代表人、拟委任的项目负责人未有行贿犯罪行为。</w:t>
      </w:r>
    </w:p>
    <w:p w14:paraId="7C194007">
      <w:pPr>
        <w:pStyle w:val="14"/>
        <w:keepNext w:val="0"/>
        <w:spacing w:after="0" w:line="540" w:lineRule="exact"/>
        <w:ind w:firstLine="562"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3.1.3 响应人须为全国性专业保险机构，在安徽省各地市</w:t>
      </w:r>
      <w:r>
        <w:rPr>
          <w:rFonts w:hint="eastAsia" w:asciiTheme="minorEastAsia" w:hAnsiTheme="minorEastAsia" w:cstheme="minorEastAsia"/>
          <w:b/>
          <w:bCs/>
          <w:color w:val="auto"/>
          <w:sz w:val="28"/>
          <w:szCs w:val="28"/>
          <w:highlight w:val="none"/>
          <w:lang w:eastAsia="zh-CN"/>
        </w:rPr>
        <w:t>、县（含县级市）</w:t>
      </w:r>
      <w:r>
        <w:rPr>
          <w:rFonts w:hint="eastAsia" w:asciiTheme="minorEastAsia" w:hAnsiTheme="minorEastAsia" w:cstheme="minorEastAsia"/>
          <w:b/>
          <w:bCs/>
          <w:color w:val="auto"/>
          <w:sz w:val="28"/>
          <w:szCs w:val="28"/>
          <w:highlight w:val="none"/>
        </w:rPr>
        <w:t>设立</w:t>
      </w:r>
      <w:r>
        <w:rPr>
          <w:rFonts w:hint="eastAsia" w:asciiTheme="minorEastAsia" w:hAnsiTheme="minorEastAsia" w:cstheme="minorEastAsia"/>
          <w:b/>
          <w:bCs/>
          <w:color w:val="auto"/>
          <w:sz w:val="28"/>
          <w:szCs w:val="28"/>
          <w:highlight w:val="none"/>
          <w:lang w:eastAsia="zh-CN"/>
        </w:rPr>
        <w:t>有</w:t>
      </w:r>
      <w:r>
        <w:rPr>
          <w:rFonts w:hint="eastAsia" w:asciiTheme="minorEastAsia" w:hAnsiTheme="minorEastAsia" w:cstheme="minorEastAsia"/>
          <w:b/>
          <w:bCs/>
          <w:color w:val="auto"/>
          <w:sz w:val="28"/>
          <w:szCs w:val="28"/>
          <w:highlight w:val="none"/>
        </w:rPr>
        <w:t>规范运营</w:t>
      </w:r>
      <w:r>
        <w:rPr>
          <w:rFonts w:hint="eastAsia" w:asciiTheme="minorEastAsia" w:hAnsiTheme="minorEastAsia" w:cstheme="minorEastAsia"/>
          <w:b/>
          <w:bCs/>
          <w:color w:val="auto"/>
          <w:sz w:val="28"/>
          <w:szCs w:val="28"/>
          <w:highlight w:val="none"/>
          <w:lang w:eastAsia="zh-CN"/>
        </w:rPr>
        <w:t>的分支机构</w:t>
      </w:r>
      <w:r>
        <w:rPr>
          <w:rFonts w:hint="eastAsia" w:asciiTheme="minorEastAsia" w:hAnsiTheme="minorEastAsia" w:cstheme="minorEastAsia"/>
          <w:b/>
          <w:bCs/>
          <w:color w:val="auto"/>
          <w:sz w:val="28"/>
          <w:szCs w:val="28"/>
          <w:highlight w:val="none"/>
        </w:rPr>
        <w:t>，具备覆盖全省的保险服务与快速理赔能力。</w:t>
      </w:r>
    </w:p>
    <w:p w14:paraId="65C4D108">
      <w:pPr>
        <w:jc w:val="center"/>
        <w:rPr>
          <w:rFonts w:hint="eastAsia" w:asciiTheme="minorEastAsia" w:hAnsiTheme="minorEastAsia" w:cstheme="minorEastAsia"/>
          <w:b/>
          <w:bCs/>
          <w:color w:val="auto"/>
          <w:sz w:val="28"/>
          <w:szCs w:val="28"/>
          <w:highlight w:val="none"/>
          <w:lang w:eastAsia="zh-CN"/>
        </w:rPr>
      </w:pPr>
    </w:p>
    <w:p w14:paraId="6498FDDF">
      <w:pPr>
        <w:keepNext w:val="0"/>
        <w:snapToGrid w:val="0"/>
        <w:spacing w:line="540" w:lineRule="exact"/>
        <w:ind w:firstLine="560"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color w:val="auto"/>
          <w:sz w:val="28"/>
          <w:szCs w:val="28"/>
          <w:highlight w:val="none"/>
        </w:rPr>
        <w:t>3.1.4 联合体：</w:t>
      </w:r>
      <w:r>
        <w:rPr>
          <w:rFonts w:hint="eastAsia" w:asciiTheme="minorEastAsia" w:hAnsiTheme="minorEastAsia" w:cstheme="minorEastAsia"/>
          <w:b/>
          <w:bCs/>
          <w:color w:val="auto"/>
          <w:sz w:val="28"/>
          <w:szCs w:val="28"/>
          <w:highlight w:val="none"/>
        </w:rPr>
        <w:t>本次采购不接受联合体报价，不接受共保。</w:t>
      </w:r>
    </w:p>
    <w:p w14:paraId="41AF3DE6">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3.1.5 本项目不允许分包。</w:t>
      </w:r>
    </w:p>
    <w:p w14:paraId="6142672A">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3.1.6 单位负责人为同一人或者存在控股、管理关系的不同单位，不得同时参加同一合同包报价，否则相关响应文件均无效。</w:t>
      </w:r>
    </w:p>
    <w:p w14:paraId="142D7810">
      <w:pPr>
        <w:keepNext w:val="0"/>
        <w:snapToGrid w:val="0"/>
        <w:spacing w:line="540" w:lineRule="exact"/>
        <w:ind w:firstLine="562"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3.1.</w:t>
      </w:r>
      <w:r>
        <w:rPr>
          <w:rFonts w:hint="eastAsia" w:asciiTheme="minorEastAsia" w:hAnsiTheme="minorEastAsia" w:cstheme="minorEastAsia"/>
          <w:b/>
          <w:bCs/>
          <w:color w:val="auto"/>
          <w:sz w:val="28"/>
          <w:szCs w:val="28"/>
          <w:highlight w:val="none"/>
          <w:lang w:val="en-US" w:eastAsia="zh-CN"/>
        </w:rPr>
        <w:t>7</w:t>
      </w:r>
      <w:r>
        <w:rPr>
          <w:rFonts w:hint="eastAsia" w:asciiTheme="minorEastAsia" w:hAnsiTheme="minorEastAsia" w:cstheme="minorEastAsia"/>
          <w:b/>
          <w:bCs/>
          <w:color w:val="auto"/>
          <w:sz w:val="28"/>
          <w:szCs w:val="28"/>
          <w:highlight w:val="none"/>
        </w:rPr>
        <w:t xml:space="preserve"> </w:t>
      </w:r>
      <w:r>
        <w:rPr>
          <w:rFonts w:hint="eastAsia" w:asciiTheme="minorEastAsia" w:hAnsiTheme="minorEastAsia" w:cstheme="minorEastAsia"/>
          <w:b/>
          <w:bCs/>
          <w:color w:val="auto"/>
          <w:sz w:val="28"/>
          <w:szCs w:val="28"/>
          <w:highlight w:val="none"/>
          <w:lang w:val="en-US" w:eastAsia="zh-CN"/>
        </w:rPr>
        <w:t>本次采购的响应单位须为没有和</w:t>
      </w:r>
      <w:r>
        <w:rPr>
          <w:rFonts w:hint="eastAsia" w:asciiTheme="minorEastAsia" w:hAnsiTheme="minorEastAsia" w:cstheme="minorEastAsia"/>
          <w:b/>
          <w:bCs/>
          <w:color w:val="auto"/>
          <w:sz w:val="28"/>
          <w:szCs w:val="28"/>
          <w:highlight w:val="none"/>
        </w:rPr>
        <w:t>安徽交控工程集团</w:t>
      </w:r>
      <w:r>
        <w:rPr>
          <w:rFonts w:hint="eastAsia" w:asciiTheme="minorEastAsia" w:hAnsiTheme="minorEastAsia" w:cstheme="minorEastAsia"/>
          <w:b/>
          <w:bCs/>
          <w:color w:val="auto"/>
          <w:sz w:val="28"/>
          <w:szCs w:val="28"/>
          <w:highlight w:val="none"/>
          <w:lang w:val="en-US" w:eastAsia="zh-CN"/>
        </w:rPr>
        <w:t>签订2025-2026或</w:t>
      </w:r>
      <w:r>
        <w:rPr>
          <w:rFonts w:hint="eastAsia" w:asciiTheme="minorEastAsia" w:hAnsiTheme="minorEastAsia" w:cstheme="minorEastAsia"/>
          <w:b/>
          <w:bCs/>
          <w:color w:val="auto"/>
          <w:sz w:val="28"/>
          <w:szCs w:val="28"/>
          <w:highlight w:val="none"/>
        </w:rPr>
        <w:t>202</w:t>
      </w:r>
      <w:r>
        <w:rPr>
          <w:rFonts w:hint="eastAsia" w:asciiTheme="minorEastAsia" w:hAnsiTheme="minorEastAsia" w:cstheme="minorEastAsia"/>
          <w:b/>
          <w:bCs/>
          <w:color w:val="auto"/>
          <w:sz w:val="28"/>
          <w:szCs w:val="28"/>
          <w:highlight w:val="none"/>
          <w:lang w:val="en-US" w:eastAsia="zh-CN"/>
        </w:rPr>
        <w:t>6</w:t>
      </w:r>
      <w:r>
        <w:rPr>
          <w:rFonts w:hint="eastAsia" w:asciiTheme="minorEastAsia" w:hAnsiTheme="minorEastAsia" w:cstheme="minorEastAsia"/>
          <w:b/>
          <w:bCs/>
          <w:color w:val="auto"/>
          <w:sz w:val="28"/>
          <w:szCs w:val="28"/>
          <w:highlight w:val="none"/>
        </w:rPr>
        <w:t>-</w:t>
      </w:r>
      <w:r>
        <w:rPr>
          <w:rFonts w:hint="eastAsia" w:asciiTheme="minorEastAsia" w:hAnsiTheme="minorEastAsia" w:cstheme="minorEastAsia"/>
          <w:b/>
          <w:bCs/>
          <w:color w:val="auto"/>
          <w:sz w:val="28"/>
          <w:szCs w:val="28"/>
          <w:highlight w:val="none"/>
          <w:lang w:eastAsia="zh-CN"/>
        </w:rPr>
        <w:t>202</w:t>
      </w:r>
      <w:r>
        <w:rPr>
          <w:rFonts w:hint="eastAsia" w:asciiTheme="minorEastAsia" w:hAnsiTheme="minorEastAsia" w:cstheme="minorEastAsia"/>
          <w:b/>
          <w:bCs/>
          <w:color w:val="auto"/>
          <w:sz w:val="28"/>
          <w:szCs w:val="28"/>
          <w:highlight w:val="none"/>
          <w:lang w:val="en-US" w:eastAsia="zh-CN"/>
        </w:rPr>
        <w:t>7</w:t>
      </w:r>
      <w:r>
        <w:rPr>
          <w:rFonts w:hint="eastAsia" w:asciiTheme="minorEastAsia" w:hAnsiTheme="minorEastAsia" w:cstheme="minorEastAsia"/>
          <w:b/>
          <w:bCs/>
          <w:color w:val="auto"/>
          <w:sz w:val="28"/>
          <w:szCs w:val="28"/>
          <w:highlight w:val="none"/>
        </w:rPr>
        <w:t>年度施工类保险集采项目合同</w:t>
      </w:r>
      <w:r>
        <w:rPr>
          <w:rFonts w:hint="eastAsia" w:asciiTheme="minorEastAsia" w:hAnsiTheme="minorEastAsia" w:cstheme="minorEastAsia"/>
          <w:b/>
          <w:bCs/>
          <w:color w:val="auto"/>
          <w:sz w:val="28"/>
          <w:szCs w:val="28"/>
          <w:highlight w:val="none"/>
          <w:lang w:val="en-US" w:eastAsia="zh-CN"/>
        </w:rPr>
        <w:t>的单位，否则响应无效</w:t>
      </w:r>
      <w:r>
        <w:rPr>
          <w:rFonts w:hint="eastAsia" w:asciiTheme="minorEastAsia" w:hAnsiTheme="minorEastAsia" w:cstheme="minorEastAsia"/>
          <w:b/>
          <w:bCs/>
          <w:color w:val="auto"/>
          <w:sz w:val="28"/>
          <w:szCs w:val="28"/>
          <w:highlight w:val="none"/>
        </w:rPr>
        <w:t>。</w:t>
      </w:r>
    </w:p>
    <w:p w14:paraId="7E516637">
      <w:pPr>
        <w:pStyle w:val="3"/>
        <w:keepNext w:val="0"/>
        <w:keepLines w:val="0"/>
        <w:numPr>
          <w:ilvl w:val="0"/>
          <w:numId w:val="0"/>
        </w:numPr>
        <w:snapToGrid w:val="0"/>
        <w:spacing w:line="540" w:lineRule="exact"/>
        <w:ind w:firstLine="562" w:firstLineChars="200"/>
        <w:jc w:val="left"/>
        <w:rPr>
          <w:rFonts w:hint="eastAsia" w:asciiTheme="minorEastAsia" w:hAnsiTheme="minorEastAsia" w:eastAsiaTheme="minorEastAsia" w:cstheme="minorEastAsia"/>
          <w:bCs w:val="0"/>
          <w:color w:val="auto"/>
          <w:szCs w:val="28"/>
          <w:highlight w:val="none"/>
        </w:rPr>
      </w:pPr>
      <w:bookmarkStart w:id="25" w:name="_Toc2996_WPSOffice_Level2"/>
      <w:bookmarkStart w:id="26" w:name="_Toc1994"/>
      <w:bookmarkStart w:id="27" w:name="_Toc525632588"/>
      <w:bookmarkStart w:id="28" w:name="_Toc4109_WPSOffice_Level2"/>
      <w:bookmarkStart w:id="29" w:name="_Toc4751"/>
      <w:bookmarkStart w:id="30" w:name="_Toc25666_WPSOffice_Level2"/>
      <w:bookmarkStart w:id="31" w:name="_Toc29452_WPSOffice_Level2"/>
      <w:r>
        <w:rPr>
          <w:rFonts w:hint="eastAsia" w:asciiTheme="minorEastAsia" w:hAnsiTheme="minorEastAsia" w:eastAsiaTheme="minorEastAsia" w:cstheme="minorEastAsia"/>
          <w:color w:val="auto"/>
          <w:szCs w:val="28"/>
          <w:highlight w:val="none"/>
        </w:rPr>
        <w:t xml:space="preserve">4. </w:t>
      </w:r>
      <w:r>
        <w:rPr>
          <w:rFonts w:hint="eastAsia" w:asciiTheme="minorEastAsia" w:hAnsiTheme="minorEastAsia" w:eastAsiaTheme="minorEastAsia" w:cstheme="minorEastAsia"/>
          <w:bCs w:val="0"/>
          <w:color w:val="auto"/>
          <w:szCs w:val="28"/>
          <w:highlight w:val="none"/>
        </w:rPr>
        <w:t>询比文件的获取</w:t>
      </w:r>
      <w:bookmarkEnd w:id="25"/>
      <w:bookmarkEnd w:id="26"/>
      <w:bookmarkEnd w:id="27"/>
      <w:bookmarkEnd w:id="28"/>
      <w:bookmarkEnd w:id="29"/>
      <w:bookmarkEnd w:id="30"/>
      <w:bookmarkEnd w:id="31"/>
    </w:p>
    <w:p w14:paraId="47E3A33B">
      <w:pPr>
        <w:keepNext w:val="0"/>
        <w:spacing w:line="540" w:lineRule="exact"/>
        <w:ind w:firstLine="562" w:firstLineChars="200"/>
        <w:jc w:val="both"/>
        <w:rPr>
          <w:rFonts w:hint="eastAsia" w:asciiTheme="minorEastAsia" w:hAnsiTheme="minorEastAsia" w:cstheme="minorEastAsia"/>
          <w:color w:val="auto"/>
          <w:sz w:val="28"/>
          <w:szCs w:val="28"/>
          <w:highlight w:val="none"/>
        </w:rPr>
      </w:pPr>
      <w:bookmarkStart w:id="32" w:name="_Toc321_WPSOffice_Level2"/>
      <w:bookmarkStart w:id="33" w:name="_Toc525632592"/>
      <w:bookmarkStart w:id="34" w:name="_Toc8501"/>
      <w:bookmarkStart w:id="35" w:name="_Toc26829"/>
      <w:bookmarkStart w:id="36" w:name="_Toc20572_WPSOffice_Level2"/>
      <w:bookmarkStart w:id="37" w:name="_Toc28571_WPSOffice_Level2"/>
      <w:bookmarkStart w:id="38" w:name="_Toc14943_WPSOffice_Level2"/>
      <w:r>
        <w:rPr>
          <w:rFonts w:hint="eastAsia" w:asciiTheme="minorEastAsia" w:hAnsiTheme="minorEastAsia" w:cstheme="minorEastAsia"/>
          <w:b/>
          <w:bCs/>
          <w:color w:val="auto"/>
          <w:sz w:val="28"/>
          <w:szCs w:val="28"/>
          <w:highlight w:val="none"/>
        </w:rPr>
        <w:t>4.1 本次询价采购为公告邀请，相关内容同步发布在安徽省交运集团有限公司</w:t>
      </w:r>
      <w:r>
        <w:rPr>
          <w:rFonts w:hint="eastAsia" w:asciiTheme="minorEastAsia" w:hAnsiTheme="minorEastAsia" w:cstheme="minorEastAsia"/>
          <w:b/>
          <w:bCs/>
          <w:color w:val="auto"/>
          <w:sz w:val="28"/>
          <w:szCs w:val="28"/>
          <w:highlight w:val="none"/>
          <w:lang w:eastAsia="zh-CN"/>
        </w:rPr>
        <w:t>外网</w:t>
      </w:r>
      <w:r>
        <w:rPr>
          <w:rFonts w:hint="eastAsia" w:asciiTheme="minorEastAsia" w:hAnsiTheme="minorEastAsia" w:cstheme="minorEastAsia"/>
          <w:b/>
          <w:bCs/>
          <w:color w:val="auto"/>
          <w:sz w:val="28"/>
          <w:szCs w:val="28"/>
          <w:highlight w:val="none"/>
        </w:rPr>
        <w:t>《招标</w:t>
      </w:r>
      <w:r>
        <w:rPr>
          <w:rFonts w:hint="eastAsia" w:asciiTheme="minorEastAsia" w:hAnsiTheme="minorEastAsia" w:cstheme="minorEastAsia"/>
          <w:b/>
          <w:bCs/>
          <w:color w:val="auto"/>
          <w:sz w:val="28"/>
          <w:szCs w:val="28"/>
          <w:highlight w:val="none"/>
          <w:lang w:val="en-US" w:eastAsia="zh-CN"/>
        </w:rPr>
        <w:t>信息</w:t>
      </w:r>
      <w:r>
        <w:rPr>
          <w:rFonts w:hint="eastAsia" w:asciiTheme="minorEastAsia" w:hAnsiTheme="minorEastAsia" w:cstheme="minorEastAsia"/>
          <w:b/>
          <w:bCs/>
          <w:color w:val="auto"/>
          <w:sz w:val="28"/>
          <w:szCs w:val="28"/>
          <w:highlight w:val="none"/>
        </w:rPr>
        <w:t>》栏（</w:t>
      </w:r>
      <w:r>
        <w:rPr>
          <w:rFonts w:hint="eastAsia" w:asciiTheme="minorEastAsia" w:hAnsiTheme="minorEastAsia" w:cstheme="minorEastAsia"/>
          <w:b/>
          <w:bCs/>
          <w:color w:val="auto"/>
          <w:sz w:val="28"/>
          <w:szCs w:val="28"/>
          <w:highlight w:val="none"/>
          <w:lang w:eastAsia="zh-CN"/>
        </w:rPr>
        <w:t>（</w:t>
      </w:r>
      <w:r>
        <w:rPr>
          <w:rFonts w:hint="eastAsia" w:asciiTheme="minorEastAsia" w:hAnsiTheme="minorEastAsia" w:cstheme="minorEastAsia"/>
          <w:b/>
          <w:bCs/>
          <w:color w:val="auto"/>
          <w:sz w:val="28"/>
          <w:szCs w:val="28"/>
          <w:highlight w:val="none"/>
        </w:rPr>
        <w:t>http://www.ahjyjt.com.cn）</w:t>
      </w:r>
      <w:r>
        <w:rPr>
          <w:rFonts w:hint="eastAsia" w:asciiTheme="minorEastAsia" w:hAnsiTheme="minorEastAsia" w:cstheme="minorEastAsia"/>
          <w:b/>
          <w:bCs/>
          <w:color w:val="auto"/>
          <w:sz w:val="28"/>
          <w:szCs w:val="28"/>
          <w:highlight w:val="none"/>
          <w:lang w:val="en-US" w:eastAsia="zh-CN"/>
        </w:rPr>
        <w:t>,</w:t>
      </w:r>
      <w:r>
        <w:rPr>
          <w:rFonts w:hint="eastAsia" w:asciiTheme="minorEastAsia" w:hAnsiTheme="minorEastAsia" w:cstheme="minorEastAsia"/>
          <w:b/>
          <w:bCs/>
          <w:color w:val="auto"/>
          <w:sz w:val="28"/>
          <w:szCs w:val="28"/>
          <w:highlight w:val="none"/>
          <w:lang w:eastAsia="zh-CN"/>
        </w:rPr>
        <w:t>服务商自行下载询比文件及相关资料</w:t>
      </w:r>
      <w:r>
        <w:rPr>
          <w:rFonts w:hint="eastAsia" w:asciiTheme="minorEastAsia" w:hAnsiTheme="minorEastAsia" w:cstheme="minorEastAsia"/>
          <w:b/>
          <w:bCs/>
          <w:color w:val="auto"/>
          <w:sz w:val="28"/>
          <w:szCs w:val="28"/>
          <w:highlight w:val="none"/>
        </w:rPr>
        <w:t>。</w:t>
      </w:r>
    </w:p>
    <w:p w14:paraId="2314C8A1">
      <w:pPr>
        <w:pStyle w:val="3"/>
        <w:keepNext w:val="0"/>
        <w:keepLines w:val="0"/>
        <w:numPr>
          <w:ilvl w:val="0"/>
          <w:numId w:val="0"/>
        </w:numPr>
        <w:snapToGrid w:val="0"/>
        <w:spacing w:line="540" w:lineRule="exact"/>
        <w:ind w:firstLine="562" w:firstLineChars="200"/>
        <w:jc w:val="left"/>
        <w:rPr>
          <w:rFonts w:hint="eastAsia" w:asciiTheme="minorEastAsia" w:hAnsiTheme="minorEastAsia" w:eastAsiaTheme="minorEastAsia" w:cstheme="minorEastAsia"/>
          <w:bCs w:val="0"/>
          <w:color w:val="auto"/>
          <w:szCs w:val="28"/>
          <w:highlight w:val="none"/>
          <w:lang w:eastAsia="zh-CN"/>
        </w:rPr>
      </w:pPr>
      <w:r>
        <w:rPr>
          <w:rFonts w:hint="eastAsia" w:asciiTheme="minorEastAsia" w:hAnsiTheme="minorEastAsia" w:eastAsiaTheme="minorEastAsia" w:cstheme="minorEastAsia"/>
          <w:color w:val="auto"/>
          <w:szCs w:val="28"/>
          <w:highlight w:val="none"/>
        </w:rPr>
        <w:t xml:space="preserve">5. </w:t>
      </w:r>
      <w:r>
        <w:rPr>
          <w:rFonts w:hint="eastAsia" w:asciiTheme="minorEastAsia" w:hAnsiTheme="minorEastAsia" w:eastAsiaTheme="minorEastAsia" w:cstheme="minorEastAsia"/>
          <w:bCs w:val="0"/>
          <w:color w:val="auto"/>
          <w:szCs w:val="28"/>
          <w:highlight w:val="none"/>
          <w:lang w:val="en-US" w:eastAsia="zh-CN"/>
        </w:rPr>
        <w:t>补遗书</w:t>
      </w:r>
    </w:p>
    <w:p w14:paraId="6F571A73">
      <w:pPr>
        <w:pStyle w:val="3"/>
        <w:keepNext w:val="0"/>
        <w:keepLines w:val="0"/>
        <w:numPr>
          <w:ilvl w:val="0"/>
          <w:numId w:val="0"/>
        </w:numPr>
        <w:snapToGrid w:val="0"/>
        <w:spacing w:line="540" w:lineRule="exact"/>
        <w:ind w:firstLine="560" w:firstLineChars="200"/>
        <w:jc w:val="left"/>
        <w:rPr>
          <w:rFonts w:hint="eastAsia" w:asciiTheme="minorEastAsia" w:hAnsiTheme="minorEastAsia" w:cstheme="minorEastAsia"/>
          <w:b w:val="0"/>
          <w:bCs w:val="0"/>
          <w:color w:val="auto"/>
          <w:sz w:val="28"/>
          <w:szCs w:val="28"/>
          <w:highlight w:val="none"/>
          <w:lang w:eastAsia="zh-CN"/>
        </w:rPr>
      </w:pPr>
      <w:r>
        <w:rPr>
          <w:rFonts w:hint="eastAsia" w:asciiTheme="minorEastAsia" w:hAnsiTheme="minorEastAsia" w:cstheme="minorEastAsia"/>
          <w:b w:val="0"/>
          <w:bCs w:val="0"/>
          <w:color w:val="auto"/>
          <w:sz w:val="28"/>
          <w:szCs w:val="28"/>
          <w:highlight w:val="none"/>
          <w:lang w:eastAsia="zh-CN"/>
        </w:rPr>
        <w:t>响应人</w:t>
      </w:r>
      <w:r>
        <w:rPr>
          <w:rFonts w:hint="eastAsia" w:asciiTheme="minorEastAsia" w:hAnsiTheme="minorEastAsia" w:cstheme="minorEastAsia"/>
          <w:b w:val="0"/>
          <w:bCs w:val="0"/>
          <w:color w:val="auto"/>
          <w:sz w:val="28"/>
          <w:szCs w:val="28"/>
          <w:highlight w:val="none"/>
        </w:rPr>
        <w:t>在收到本询价文件后，需仔细阅读理解本询价文件，如有疑问，需以书面形式发函至</w:t>
      </w:r>
      <w:r>
        <w:rPr>
          <w:rFonts w:hint="eastAsia" w:asciiTheme="minorEastAsia" w:hAnsiTheme="minorEastAsia" w:cstheme="minorEastAsia"/>
          <w:b w:val="0"/>
          <w:bCs w:val="0"/>
          <w:color w:val="auto"/>
          <w:sz w:val="28"/>
          <w:szCs w:val="28"/>
          <w:highlight w:val="none"/>
          <w:lang w:eastAsia="zh-CN"/>
        </w:rPr>
        <w:t>采购人</w:t>
      </w:r>
      <w:r>
        <w:rPr>
          <w:rFonts w:hint="eastAsia" w:asciiTheme="minorEastAsia" w:hAnsiTheme="minorEastAsia" w:cstheme="minorEastAsia"/>
          <w:b w:val="0"/>
          <w:bCs w:val="0"/>
          <w:color w:val="auto"/>
          <w:sz w:val="28"/>
          <w:szCs w:val="28"/>
          <w:highlight w:val="none"/>
          <w:lang w:val="en-US" w:eastAsia="zh-CN"/>
        </w:rPr>
        <w:t>邮箱</w:t>
      </w:r>
      <w:r>
        <w:rPr>
          <w:rFonts w:hint="eastAsia" w:asciiTheme="minorEastAsia" w:hAnsiTheme="minorEastAsia" w:cstheme="minorEastAsia"/>
          <w:b w:val="0"/>
          <w:bCs w:val="0"/>
          <w:color w:val="auto"/>
          <w:sz w:val="28"/>
          <w:szCs w:val="28"/>
          <w:highlight w:val="none"/>
        </w:rPr>
        <w:t>。如</w:t>
      </w:r>
      <w:r>
        <w:rPr>
          <w:rFonts w:hint="eastAsia" w:asciiTheme="minorEastAsia" w:hAnsiTheme="minorEastAsia" w:cstheme="minorEastAsia"/>
          <w:b w:val="0"/>
          <w:bCs w:val="0"/>
          <w:color w:val="auto"/>
          <w:sz w:val="28"/>
          <w:szCs w:val="28"/>
          <w:highlight w:val="none"/>
          <w:lang w:eastAsia="zh-CN"/>
        </w:rPr>
        <w:t>采购人</w:t>
      </w:r>
      <w:r>
        <w:rPr>
          <w:rFonts w:hint="eastAsia" w:asciiTheme="minorEastAsia" w:hAnsiTheme="minorEastAsia" w:cstheme="minorEastAsia"/>
          <w:b w:val="0"/>
          <w:bCs w:val="0"/>
          <w:color w:val="auto"/>
          <w:sz w:val="28"/>
          <w:szCs w:val="28"/>
          <w:highlight w:val="none"/>
        </w:rPr>
        <w:t>认为需要答疑的，在成交方递交询价响应文件</w:t>
      </w:r>
      <w:r>
        <w:rPr>
          <w:rFonts w:hint="eastAsia" w:asciiTheme="minorEastAsia" w:hAnsiTheme="minorEastAsia" w:cstheme="minorEastAsia"/>
          <w:b/>
          <w:bCs/>
          <w:color w:val="auto"/>
          <w:sz w:val="28"/>
          <w:szCs w:val="28"/>
          <w:highlight w:val="none"/>
        </w:rPr>
        <w:t>前三天</w:t>
      </w:r>
      <w:r>
        <w:rPr>
          <w:rFonts w:hint="eastAsia" w:asciiTheme="minorEastAsia" w:hAnsiTheme="minorEastAsia" w:cstheme="minorEastAsia"/>
          <w:b/>
          <w:bCs/>
          <w:color w:val="auto"/>
          <w:szCs w:val="28"/>
          <w:highlight w:val="none"/>
        </w:rPr>
        <w:t>在</w:t>
      </w:r>
      <w:r>
        <w:rPr>
          <w:rFonts w:hint="eastAsia" w:asciiTheme="minorEastAsia" w:hAnsiTheme="minorEastAsia" w:cstheme="minorEastAsia"/>
          <w:color w:val="auto"/>
          <w:szCs w:val="28"/>
          <w:highlight w:val="none"/>
        </w:rPr>
        <w:t>安徽省交运集团有限公司</w:t>
      </w:r>
      <w:r>
        <w:rPr>
          <w:rFonts w:hint="eastAsia" w:asciiTheme="minorEastAsia" w:hAnsiTheme="minorEastAsia" w:cstheme="minorEastAsia"/>
          <w:color w:val="auto"/>
          <w:szCs w:val="28"/>
          <w:highlight w:val="none"/>
          <w:lang w:eastAsia="zh-CN"/>
        </w:rPr>
        <w:t>外网</w:t>
      </w:r>
      <w:r>
        <w:rPr>
          <w:rFonts w:hint="eastAsia" w:asciiTheme="minorEastAsia" w:hAnsiTheme="minorEastAsia" w:cstheme="minorEastAsia"/>
          <w:b/>
          <w:bCs/>
          <w:color w:val="auto"/>
          <w:szCs w:val="28"/>
          <w:highlight w:val="none"/>
        </w:rPr>
        <w:t>发出</w:t>
      </w:r>
      <w:r>
        <w:rPr>
          <w:rFonts w:hint="eastAsia" w:asciiTheme="minorEastAsia" w:hAnsiTheme="minorEastAsia" w:cstheme="minorEastAsia"/>
          <w:b/>
          <w:bCs/>
          <w:color w:val="auto"/>
          <w:sz w:val="28"/>
          <w:szCs w:val="28"/>
          <w:highlight w:val="none"/>
        </w:rPr>
        <w:t>。</w:t>
      </w:r>
      <w:r>
        <w:rPr>
          <w:rFonts w:hint="eastAsia" w:asciiTheme="minorEastAsia" w:hAnsiTheme="minorEastAsia" w:cstheme="minorEastAsia"/>
          <w:b w:val="0"/>
          <w:bCs w:val="0"/>
          <w:color w:val="auto"/>
          <w:sz w:val="28"/>
          <w:szCs w:val="28"/>
          <w:highlight w:val="none"/>
        </w:rPr>
        <w:t>补遗书是对本询价文件的进一步补充和说明，是本询价文件的组成部分，响应方应将其与询价文件共同阅读。如果补遗书与本询价文件有不一致之处，以补遗书为准</w:t>
      </w:r>
      <w:r>
        <w:rPr>
          <w:rFonts w:hint="eastAsia" w:asciiTheme="minorEastAsia" w:hAnsiTheme="minorEastAsia" w:cstheme="minorEastAsia"/>
          <w:b w:val="0"/>
          <w:bCs w:val="0"/>
          <w:color w:val="auto"/>
          <w:sz w:val="28"/>
          <w:szCs w:val="28"/>
          <w:highlight w:val="none"/>
          <w:lang w:eastAsia="zh-CN"/>
        </w:rPr>
        <w:t>。</w:t>
      </w:r>
    </w:p>
    <w:p w14:paraId="32716E4B">
      <w:pPr>
        <w:pStyle w:val="3"/>
        <w:keepNext w:val="0"/>
        <w:keepLines w:val="0"/>
        <w:numPr>
          <w:ilvl w:val="0"/>
          <w:numId w:val="0"/>
        </w:numPr>
        <w:snapToGrid w:val="0"/>
        <w:spacing w:line="540" w:lineRule="exact"/>
        <w:ind w:firstLine="562" w:firstLineChars="200"/>
        <w:jc w:val="left"/>
        <w:rPr>
          <w:rFonts w:hint="eastAsia" w:asciiTheme="minorEastAsia" w:hAnsiTheme="minorEastAsia" w:eastAsiaTheme="minorEastAsia" w:cstheme="minorEastAsia"/>
          <w:bCs w:val="0"/>
          <w:color w:val="auto"/>
          <w:szCs w:val="28"/>
          <w:highlight w:val="none"/>
        </w:rPr>
      </w:pPr>
      <w:r>
        <w:rPr>
          <w:rFonts w:hint="eastAsia" w:asciiTheme="minorEastAsia" w:hAnsiTheme="minorEastAsia" w:eastAsiaTheme="minorEastAsia" w:cstheme="minorEastAsia"/>
          <w:color w:val="auto"/>
          <w:szCs w:val="28"/>
          <w:highlight w:val="none"/>
          <w:lang w:val="en-US" w:eastAsia="zh-CN"/>
        </w:rPr>
        <w:t>6</w:t>
      </w:r>
      <w:r>
        <w:rPr>
          <w:rFonts w:hint="eastAsia" w:asciiTheme="minorEastAsia" w:hAnsiTheme="minorEastAsia" w:eastAsiaTheme="minorEastAsia" w:cstheme="minorEastAsia"/>
          <w:color w:val="auto"/>
          <w:szCs w:val="28"/>
          <w:highlight w:val="none"/>
        </w:rPr>
        <w:t xml:space="preserve">. </w:t>
      </w:r>
      <w:r>
        <w:rPr>
          <w:rFonts w:hint="eastAsia" w:asciiTheme="minorEastAsia" w:hAnsiTheme="minorEastAsia" w:eastAsiaTheme="minorEastAsia" w:cstheme="minorEastAsia"/>
          <w:bCs w:val="0"/>
          <w:color w:val="auto"/>
          <w:szCs w:val="28"/>
          <w:highlight w:val="none"/>
        </w:rPr>
        <w:t>响应文件的递交</w:t>
      </w:r>
    </w:p>
    <w:p w14:paraId="4C4EB491">
      <w:pPr>
        <w:keepNext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响应文件递交的截止时间为</w:t>
      </w:r>
      <w:r>
        <w:rPr>
          <w:rFonts w:hint="eastAsia" w:asciiTheme="minorEastAsia" w:hAnsiTheme="minorEastAsia" w:cstheme="minorEastAsia"/>
          <w:b/>
          <w:bCs/>
          <w:color w:val="auto"/>
          <w:sz w:val="28"/>
          <w:szCs w:val="28"/>
          <w:highlight w:val="none"/>
          <w:u w:val="single"/>
          <w:lang w:eastAsia="zh-CN"/>
        </w:rPr>
        <w:t>2026</w:t>
      </w:r>
      <w:r>
        <w:rPr>
          <w:rFonts w:hint="eastAsia" w:asciiTheme="minorEastAsia" w:hAnsiTheme="minorEastAsia" w:cstheme="minorEastAsia"/>
          <w:b/>
          <w:bCs/>
          <w:color w:val="000000" w:themeColor="text1"/>
          <w:sz w:val="28"/>
          <w:szCs w:val="28"/>
          <w:highlight w:val="none"/>
          <w14:textFill>
            <w14:solidFill>
              <w14:schemeClr w14:val="tx1"/>
            </w14:solidFill>
          </w14:textFill>
        </w:rPr>
        <w:t>年</w:t>
      </w:r>
      <w:r>
        <w:rPr>
          <w:rFonts w:hint="eastAsia" w:asciiTheme="minorEastAsia" w:hAnsiTheme="minorEastAsia" w:cstheme="minorEastAsia"/>
          <w:b/>
          <w:bCs/>
          <w:color w:val="000000" w:themeColor="text1"/>
          <w:sz w:val="28"/>
          <w:szCs w:val="28"/>
          <w:highlight w:val="none"/>
          <w:lang w:val="en-US" w:eastAsia="zh-CN"/>
          <w14:textFill>
            <w14:solidFill>
              <w14:schemeClr w14:val="tx1"/>
            </w14:solidFill>
          </w14:textFill>
        </w:rPr>
        <w:t>5</w:t>
      </w:r>
      <w:r>
        <w:rPr>
          <w:rFonts w:hint="eastAsia" w:asciiTheme="minorEastAsia" w:hAnsiTheme="minorEastAsia" w:cstheme="minorEastAsia"/>
          <w:b/>
          <w:b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28"/>
          <w:szCs w:val="28"/>
          <w:highlight w:val="none"/>
          <w14:textFill>
            <w14:solidFill>
              <w14:schemeClr w14:val="tx1"/>
            </w14:solidFill>
          </w14:textFill>
        </w:rPr>
        <w:t>月</w:t>
      </w:r>
      <w:r>
        <w:rPr>
          <w:rFonts w:hint="eastAsia" w:asciiTheme="minorEastAsia" w:hAnsiTheme="minorEastAsia" w:cstheme="minorEastAsia"/>
          <w:b/>
          <w:bCs/>
          <w:color w:val="000000" w:themeColor="text1"/>
          <w:sz w:val="28"/>
          <w:szCs w:val="28"/>
          <w:highlight w:val="none"/>
          <w:u w:val="single"/>
          <w:lang w:val="en-US" w:eastAsia="zh-CN"/>
          <w14:textFill>
            <w14:solidFill>
              <w14:schemeClr w14:val="tx1"/>
            </w14:solidFill>
          </w14:textFill>
        </w:rPr>
        <w:t xml:space="preserve"> 9 </w:t>
      </w:r>
      <w:r>
        <w:rPr>
          <w:rFonts w:hint="eastAsia" w:asciiTheme="minorEastAsia" w:hAnsiTheme="minorEastAsia" w:cstheme="minorEastAsia"/>
          <w:b/>
          <w:bCs/>
          <w:color w:val="000000" w:themeColor="text1"/>
          <w:sz w:val="28"/>
          <w:szCs w:val="28"/>
          <w:highlight w:val="none"/>
          <w14:textFill>
            <w14:solidFill>
              <w14:schemeClr w14:val="tx1"/>
            </w14:solidFill>
          </w14:textFill>
        </w:rPr>
        <w:t>日时</w:t>
      </w:r>
      <w:r>
        <w:rPr>
          <w:rFonts w:hint="eastAsia" w:asciiTheme="minorEastAsia" w:hAnsiTheme="minorEastAsia" w:cstheme="minorEastAsia"/>
          <w:b/>
          <w:bCs/>
          <w:color w:val="000000" w:themeColor="text1"/>
          <w:sz w:val="28"/>
          <w:szCs w:val="28"/>
          <w:highlight w:val="none"/>
          <w:u w:val="single"/>
          <w:lang w:val="en-US" w:eastAsia="zh-CN"/>
          <w14:textFill>
            <w14:solidFill>
              <w14:schemeClr w14:val="tx1"/>
            </w14:solidFill>
          </w14:textFill>
        </w:rPr>
        <w:t xml:space="preserve"> 10:00 </w:t>
      </w:r>
      <w:r>
        <w:rPr>
          <w:rFonts w:hint="eastAsia" w:asciiTheme="minorEastAsia" w:hAnsiTheme="minorEastAsia" w:cstheme="minorEastAsia"/>
          <w:b/>
          <w:bCs/>
          <w:color w:val="000000" w:themeColor="text1"/>
          <w:sz w:val="28"/>
          <w:szCs w:val="28"/>
          <w:highlight w:val="none"/>
          <w14:textFill>
            <w14:solidFill>
              <w14:schemeClr w14:val="tx1"/>
            </w14:solidFill>
          </w14:textFill>
        </w:rPr>
        <w:t>分</w:t>
      </w:r>
      <w:r>
        <w:rPr>
          <w:rFonts w:hint="eastAsia" w:asciiTheme="minorEastAsia" w:hAnsi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的法定代表人或其授权代理人应于递交的截止时间前将响应文件递交至</w:t>
      </w:r>
      <w:r>
        <w:rPr>
          <w:rFonts w:hint="eastAsia" w:asciiTheme="minorEastAsia" w:hAnsiTheme="minorEastAsia" w:cstheme="minorEastAsia"/>
          <w:color w:val="auto"/>
          <w:sz w:val="28"/>
          <w:szCs w:val="28"/>
          <w:highlight w:val="none"/>
          <w:u w:val="single"/>
        </w:rPr>
        <w:t>合肥市胜利路35号三楼会议室</w:t>
      </w:r>
      <w:r>
        <w:rPr>
          <w:rFonts w:hint="eastAsia" w:asciiTheme="minorEastAsia" w:hAnsiTheme="minorEastAsia" w:cstheme="minorEastAsia"/>
          <w:color w:val="auto"/>
          <w:sz w:val="28"/>
          <w:szCs w:val="28"/>
          <w:highlight w:val="none"/>
        </w:rPr>
        <w:t>。</w:t>
      </w:r>
    </w:p>
    <w:p w14:paraId="15BD39D2">
      <w:pPr>
        <w:pStyle w:val="3"/>
        <w:keepNext w:val="0"/>
        <w:keepLines w:val="0"/>
        <w:numPr>
          <w:ilvl w:val="0"/>
          <w:numId w:val="0"/>
        </w:numPr>
        <w:snapToGrid w:val="0"/>
        <w:spacing w:line="540" w:lineRule="exact"/>
        <w:ind w:firstLine="562" w:firstLineChars="200"/>
        <w:jc w:val="left"/>
        <w:rPr>
          <w:rFonts w:hint="eastAsia" w:asciiTheme="minorEastAsia" w:hAnsiTheme="minorEastAsia" w:eastAsiaTheme="minorEastAsia" w:cstheme="minorEastAsia"/>
          <w:bCs w:val="0"/>
          <w:color w:val="auto"/>
          <w:szCs w:val="28"/>
          <w:highlight w:val="none"/>
        </w:rPr>
      </w:pPr>
      <w:r>
        <w:rPr>
          <w:rFonts w:hint="eastAsia" w:asciiTheme="minorEastAsia" w:hAnsiTheme="minorEastAsia" w:eastAsiaTheme="minorEastAsia" w:cstheme="minorEastAsia"/>
          <w:b/>
          <w:bCs w:val="0"/>
          <w:color w:val="auto"/>
          <w:kern w:val="2"/>
          <w:sz w:val="28"/>
          <w:szCs w:val="28"/>
          <w:highlight w:val="none"/>
          <w:lang w:val="en-US" w:eastAsia="zh-CN" w:bidi="ar-SA"/>
        </w:rPr>
        <w:t xml:space="preserve">7. </w:t>
      </w:r>
      <w:r>
        <w:rPr>
          <w:rFonts w:hint="eastAsia" w:asciiTheme="minorEastAsia" w:hAnsiTheme="minorEastAsia" w:eastAsiaTheme="minorEastAsia" w:cstheme="minorEastAsia"/>
          <w:bCs w:val="0"/>
          <w:color w:val="auto"/>
          <w:szCs w:val="28"/>
          <w:highlight w:val="none"/>
        </w:rPr>
        <w:t>响应文件启封</w:t>
      </w:r>
    </w:p>
    <w:p w14:paraId="7D650B58">
      <w:pPr>
        <w:keepNext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响应文件的递交截止时间到后，采购人将于</w:t>
      </w:r>
      <w:r>
        <w:rPr>
          <w:rFonts w:hint="eastAsia" w:asciiTheme="minorEastAsia" w:hAnsiTheme="minorEastAsia" w:cstheme="minorEastAsia"/>
          <w:b/>
          <w:bCs/>
          <w:color w:val="auto"/>
          <w:sz w:val="28"/>
          <w:szCs w:val="28"/>
          <w:highlight w:val="none"/>
          <w:u w:val="single"/>
        </w:rPr>
        <w:t>合肥市胜利路35号三楼会议室</w:t>
      </w:r>
      <w:r>
        <w:rPr>
          <w:rFonts w:hint="eastAsia" w:asciiTheme="minorEastAsia" w:hAnsiTheme="minorEastAsia" w:cstheme="minorEastAsia"/>
          <w:color w:val="auto"/>
          <w:sz w:val="28"/>
          <w:szCs w:val="28"/>
          <w:highlight w:val="none"/>
        </w:rPr>
        <w:t>组织进行响应文件的启封。</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的法定代表人或授权代理人应携带本人身份证、授权代理人应携带授权委托书准时参加启封会议。</w:t>
      </w:r>
    </w:p>
    <w:p w14:paraId="3817EB9D">
      <w:pPr>
        <w:pStyle w:val="3"/>
        <w:keepNext w:val="0"/>
        <w:keepLines w:val="0"/>
        <w:numPr>
          <w:ilvl w:val="1"/>
          <w:numId w:val="0"/>
        </w:numPr>
        <w:snapToGrid w:val="0"/>
        <w:spacing w:line="540" w:lineRule="exact"/>
        <w:ind w:firstLine="562" w:firstLineChars="200"/>
        <w:jc w:val="left"/>
        <w:rPr>
          <w:rFonts w:hint="eastAsia" w:asciiTheme="minorEastAsia" w:hAnsiTheme="minorEastAsia" w:eastAsiaTheme="minorEastAsia" w:cstheme="minorEastAsia"/>
          <w:bCs w:val="0"/>
          <w:color w:val="auto"/>
          <w:szCs w:val="28"/>
          <w:highlight w:val="none"/>
        </w:rPr>
      </w:pPr>
      <w:r>
        <w:rPr>
          <w:rFonts w:hint="eastAsia" w:asciiTheme="minorEastAsia" w:hAnsiTheme="minorEastAsia" w:cstheme="minorEastAsia"/>
          <w:bCs w:val="0"/>
          <w:color w:val="auto"/>
          <w:szCs w:val="28"/>
          <w:highlight w:val="none"/>
          <w:lang w:val="en-US" w:eastAsia="zh-CN"/>
        </w:rPr>
        <w:t>8</w:t>
      </w:r>
      <w:r>
        <w:rPr>
          <w:rFonts w:hint="eastAsia" w:asciiTheme="minorEastAsia" w:hAnsiTheme="minorEastAsia" w:eastAsiaTheme="minorEastAsia" w:cstheme="minorEastAsia"/>
          <w:bCs w:val="0"/>
          <w:color w:val="auto"/>
          <w:szCs w:val="28"/>
          <w:highlight w:val="none"/>
          <w:lang w:val="en-US" w:eastAsia="zh-CN"/>
        </w:rPr>
        <w:t xml:space="preserve">. </w:t>
      </w:r>
      <w:r>
        <w:rPr>
          <w:rFonts w:hint="eastAsia" w:asciiTheme="minorEastAsia" w:hAnsiTheme="minorEastAsia" w:eastAsiaTheme="minorEastAsia" w:cstheme="minorEastAsia"/>
          <w:bCs w:val="0"/>
          <w:color w:val="auto"/>
          <w:szCs w:val="28"/>
          <w:highlight w:val="none"/>
        </w:rPr>
        <w:t>采购人联系方式</w:t>
      </w:r>
    </w:p>
    <w:p w14:paraId="7011086E">
      <w:pPr>
        <w:pStyle w:val="3"/>
        <w:keepNext w:val="0"/>
        <w:keepLines w:val="0"/>
        <w:numPr>
          <w:ilvl w:val="0"/>
          <w:numId w:val="0"/>
        </w:numPr>
        <w:spacing w:line="540" w:lineRule="exact"/>
        <w:ind w:firstLine="560" w:firstLineChars="200"/>
        <w:jc w:val="left"/>
        <w:rPr>
          <w:rFonts w:hint="default" w:asciiTheme="minorEastAsia" w:hAnsiTheme="minorEastAsia" w:eastAsiaTheme="minorEastAsia" w:cstheme="minorEastAsia"/>
          <w:b w:val="0"/>
          <w:bCs w:val="0"/>
          <w:color w:val="auto"/>
          <w:szCs w:val="28"/>
          <w:highlight w:val="none"/>
          <w:lang w:val="en-US" w:eastAsia="zh-CN"/>
        </w:rPr>
      </w:pPr>
      <w:r>
        <w:rPr>
          <w:rFonts w:hint="eastAsia" w:asciiTheme="minorEastAsia" w:hAnsiTheme="minorEastAsia" w:cstheme="minorEastAsia"/>
          <w:b w:val="0"/>
          <w:bCs w:val="0"/>
          <w:color w:val="auto"/>
          <w:szCs w:val="28"/>
          <w:highlight w:val="none"/>
        </w:rPr>
        <w:t>采 购 人：安徽皖运保险代理有限公司</w:t>
      </w:r>
    </w:p>
    <w:p w14:paraId="6C828FDD">
      <w:pPr>
        <w:pStyle w:val="3"/>
        <w:keepNext w:val="0"/>
        <w:keepLines w:val="0"/>
        <w:numPr>
          <w:ilvl w:val="0"/>
          <w:numId w:val="0"/>
        </w:numPr>
        <w:spacing w:line="540" w:lineRule="exact"/>
        <w:ind w:firstLine="560" w:firstLineChars="200"/>
        <w:jc w:val="left"/>
        <w:rPr>
          <w:rFonts w:hint="eastAsia" w:asciiTheme="minorEastAsia" w:hAnsiTheme="minorEastAsia" w:eastAsiaTheme="minorEastAsia" w:cstheme="minorEastAsia"/>
          <w:b w:val="0"/>
          <w:bCs w:val="0"/>
          <w:color w:val="auto"/>
          <w:szCs w:val="28"/>
          <w:highlight w:val="none"/>
          <w:lang w:val="en-US" w:eastAsia="zh-CN"/>
        </w:rPr>
      </w:pPr>
      <w:r>
        <w:rPr>
          <w:rFonts w:hint="eastAsia" w:asciiTheme="minorEastAsia" w:hAnsiTheme="minorEastAsia" w:cstheme="minorEastAsia"/>
          <w:b w:val="0"/>
          <w:bCs w:val="0"/>
          <w:color w:val="auto"/>
          <w:szCs w:val="28"/>
          <w:highlight w:val="none"/>
        </w:rPr>
        <w:t>地    址：合肥市胜利路35号</w:t>
      </w:r>
    </w:p>
    <w:p w14:paraId="536275CE">
      <w:pPr>
        <w:pStyle w:val="3"/>
        <w:keepNext w:val="0"/>
        <w:keepLines w:val="0"/>
        <w:numPr>
          <w:ilvl w:val="0"/>
          <w:numId w:val="0"/>
        </w:numPr>
        <w:spacing w:line="540" w:lineRule="exact"/>
        <w:ind w:firstLine="560" w:firstLineChars="200"/>
        <w:jc w:val="left"/>
        <w:rPr>
          <w:rFonts w:hint="eastAsia" w:asciiTheme="minorEastAsia" w:hAnsiTheme="minorEastAsia" w:eastAsiaTheme="minorEastAsia" w:cstheme="minorEastAsia"/>
          <w:b w:val="0"/>
          <w:bCs w:val="0"/>
          <w:color w:val="auto"/>
          <w:szCs w:val="28"/>
          <w:highlight w:val="none"/>
          <w:lang w:val="en-US" w:eastAsia="zh-CN"/>
        </w:rPr>
      </w:pPr>
      <w:r>
        <w:rPr>
          <w:rFonts w:hint="eastAsia" w:asciiTheme="minorEastAsia" w:hAnsiTheme="minorEastAsia" w:cstheme="minorEastAsia"/>
          <w:b w:val="0"/>
          <w:bCs w:val="0"/>
          <w:color w:val="auto"/>
          <w:szCs w:val="28"/>
          <w:highlight w:val="none"/>
        </w:rPr>
        <w:t>联 系 人：</w:t>
      </w:r>
      <w:r>
        <w:rPr>
          <w:rFonts w:hint="eastAsia" w:asciiTheme="minorEastAsia" w:hAnsiTheme="minorEastAsia" w:cstheme="minorEastAsia"/>
          <w:b w:val="0"/>
          <w:bCs w:val="0"/>
          <w:color w:val="auto"/>
          <w:szCs w:val="28"/>
          <w:highlight w:val="none"/>
          <w:lang w:eastAsia="zh-CN"/>
        </w:rPr>
        <w:t>高</w:t>
      </w:r>
      <w:r>
        <w:rPr>
          <w:rFonts w:hint="eastAsia" w:asciiTheme="minorEastAsia" w:hAnsiTheme="minorEastAsia" w:cstheme="minorEastAsia"/>
          <w:b w:val="0"/>
          <w:bCs w:val="0"/>
          <w:color w:val="auto"/>
          <w:szCs w:val="28"/>
          <w:highlight w:val="none"/>
          <w:lang w:val="en-US" w:eastAsia="zh-CN"/>
        </w:rPr>
        <w:t xml:space="preserve">  </w:t>
      </w:r>
      <w:r>
        <w:rPr>
          <w:rFonts w:hint="eastAsia" w:asciiTheme="minorEastAsia" w:hAnsiTheme="minorEastAsia" w:cstheme="minorEastAsia"/>
          <w:b w:val="0"/>
          <w:bCs w:val="0"/>
          <w:color w:val="auto"/>
          <w:szCs w:val="28"/>
          <w:highlight w:val="none"/>
          <w:lang w:eastAsia="zh-CN"/>
        </w:rPr>
        <w:t>春</w:t>
      </w:r>
    </w:p>
    <w:p w14:paraId="688D531C">
      <w:pPr>
        <w:pStyle w:val="3"/>
        <w:keepNext w:val="0"/>
        <w:keepLines w:val="0"/>
        <w:numPr>
          <w:ilvl w:val="0"/>
          <w:numId w:val="0"/>
        </w:numPr>
        <w:spacing w:line="540" w:lineRule="exact"/>
        <w:ind w:firstLine="560" w:firstLineChars="200"/>
        <w:jc w:val="left"/>
        <w:rPr>
          <w:rFonts w:hint="eastAsia" w:asciiTheme="minorEastAsia" w:hAnsiTheme="minorEastAsia" w:eastAsiaTheme="minorEastAsia" w:cstheme="minorEastAsia"/>
          <w:b w:val="0"/>
          <w:bCs w:val="0"/>
          <w:color w:val="auto"/>
          <w:szCs w:val="28"/>
          <w:highlight w:val="none"/>
          <w:lang w:eastAsia="zh-CN"/>
        </w:rPr>
      </w:pPr>
      <w:r>
        <w:rPr>
          <w:rFonts w:hint="eastAsia" w:asciiTheme="minorEastAsia" w:hAnsiTheme="minorEastAsia" w:cstheme="minorEastAsia"/>
          <w:b w:val="0"/>
          <w:bCs w:val="0"/>
          <w:color w:val="auto"/>
          <w:szCs w:val="28"/>
          <w:highlight w:val="none"/>
        </w:rPr>
        <w:t>电    话：</w:t>
      </w:r>
      <w:r>
        <w:rPr>
          <w:rFonts w:hint="eastAsia" w:asciiTheme="minorEastAsia" w:hAnsiTheme="minorEastAsia" w:cstheme="minorEastAsia"/>
          <w:b w:val="0"/>
          <w:bCs w:val="0"/>
          <w:color w:val="auto"/>
          <w:szCs w:val="28"/>
          <w:highlight w:val="none"/>
          <w:lang w:eastAsia="zh-CN"/>
        </w:rPr>
        <w:t>13855139918</w:t>
      </w:r>
    </w:p>
    <w:p w14:paraId="4FCD08B5">
      <w:pPr>
        <w:pStyle w:val="3"/>
        <w:keepNext w:val="0"/>
        <w:keepLines w:val="0"/>
        <w:numPr>
          <w:ilvl w:val="0"/>
          <w:numId w:val="0"/>
        </w:numPr>
        <w:spacing w:line="540" w:lineRule="exact"/>
        <w:ind w:firstLine="560" w:firstLineChars="200"/>
        <w:jc w:val="left"/>
        <w:rPr>
          <w:rFonts w:hint="eastAsia" w:asciiTheme="minorEastAsia" w:hAnsi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kern w:val="2"/>
          <w:sz w:val="28"/>
          <w:szCs w:val="28"/>
          <w:highlight w:val="none"/>
        </w:rPr>
        <w:t>联系邮箱:</w:t>
      </w:r>
      <w:r>
        <w:rPr>
          <w:rFonts w:hint="eastAsia" w:asciiTheme="minorEastAsia" w:hAnsiTheme="minorEastAsia" w:cstheme="minorEastAsia"/>
          <w:b w:val="0"/>
          <w:bCs w:val="0"/>
          <w:color w:val="auto"/>
          <w:kern w:val="2"/>
          <w:sz w:val="28"/>
          <w:szCs w:val="28"/>
          <w:highlight w:val="none"/>
          <w:lang w:val="en-US" w:eastAsia="zh-CN"/>
        </w:rPr>
        <w:t xml:space="preserve"> </w:t>
      </w:r>
      <w:r>
        <w:rPr>
          <w:rFonts w:hint="eastAsia" w:asciiTheme="minorEastAsia" w:hAnsiTheme="minorEastAsia" w:cstheme="minorEastAsia"/>
          <w:b w:val="0"/>
          <w:bCs w:val="0"/>
          <w:color w:val="auto"/>
          <w:sz w:val="28"/>
          <w:szCs w:val="28"/>
          <w:highlight w:val="none"/>
        </w:rPr>
        <w:fldChar w:fldCharType="begin"/>
      </w:r>
      <w:r>
        <w:rPr>
          <w:rFonts w:hint="eastAsia" w:asciiTheme="minorEastAsia" w:hAnsiTheme="minorEastAsia" w:cstheme="minorEastAsia"/>
          <w:b w:val="0"/>
          <w:bCs w:val="0"/>
          <w:color w:val="auto"/>
          <w:sz w:val="28"/>
          <w:szCs w:val="28"/>
          <w:highlight w:val="none"/>
        </w:rPr>
        <w:instrText xml:space="preserve"> HYPERLINK "mailto:anhuiwanyun@163.com" </w:instrText>
      </w:r>
      <w:r>
        <w:rPr>
          <w:rFonts w:hint="eastAsia" w:asciiTheme="minorEastAsia" w:hAnsiTheme="minorEastAsia" w:cstheme="minorEastAsia"/>
          <w:b w:val="0"/>
          <w:bCs w:val="0"/>
          <w:color w:val="auto"/>
          <w:sz w:val="28"/>
          <w:szCs w:val="28"/>
          <w:highlight w:val="none"/>
        </w:rPr>
        <w:fldChar w:fldCharType="separate"/>
      </w:r>
      <w:r>
        <w:rPr>
          <w:rStyle w:val="35"/>
          <w:rFonts w:hint="eastAsia" w:asciiTheme="minorEastAsia" w:hAnsiTheme="minorEastAsia" w:cstheme="minorEastAsia"/>
          <w:b w:val="0"/>
          <w:bCs w:val="0"/>
          <w:sz w:val="28"/>
          <w:szCs w:val="28"/>
          <w:highlight w:val="none"/>
        </w:rPr>
        <w:t>anhuiwanyun@163.com</w:t>
      </w:r>
      <w:r>
        <w:rPr>
          <w:rFonts w:hint="eastAsia" w:asciiTheme="minorEastAsia" w:hAnsiTheme="minorEastAsia" w:cstheme="minorEastAsia"/>
          <w:b w:val="0"/>
          <w:bCs w:val="0"/>
          <w:color w:val="auto"/>
          <w:sz w:val="28"/>
          <w:szCs w:val="28"/>
          <w:highlight w:val="none"/>
        </w:rPr>
        <w:fldChar w:fldCharType="end"/>
      </w:r>
    </w:p>
    <w:p w14:paraId="3C36724D">
      <w:pPr>
        <w:pStyle w:val="3"/>
        <w:keepNext w:val="0"/>
        <w:keepLines w:val="0"/>
        <w:numPr>
          <w:ilvl w:val="0"/>
          <w:numId w:val="0"/>
        </w:numPr>
        <w:spacing w:line="540" w:lineRule="exact"/>
        <w:ind w:firstLine="560" w:firstLineChars="200"/>
        <w:jc w:val="left"/>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szCs w:val="28"/>
          <w:highlight w:val="none"/>
        </w:rPr>
        <w:t>监督电话：</w:t>
      </w:r>
      <w:bookmarkEnd w:id="32"/>
      <w:bookmarkEnd w:id="33"/>
      <w:bookmarkEnd w:id="34"/>
      <w:bookmarkEnd w:id="35"/>
      <w:bookmarkEnd w:id="36"/>
      <w:bookmarkEnd w:id="37"/>
      <w:bookmarkEnd w:id="38"/>
      <w:r>
        <w:rPr>
          <w:rFonts w:hint="eastAsia" w:asciiTheme="minorEastAsia" w:hAnsiTheme="minorEastAsia" w:eastAsiaTheme="minorEastAsia" w:cstheme="minorEastAsia"/>
          <w:b w:val="0"/>
          <w:bCs w:val="0"/>
          <w:color w:val="auto"/>
          <w:kern w:val="2"/>
          <w:sz w:val="28"/>
          <w:szCs w:val="28"/>
          <w:highlight w:val="none"/>
          <w:lang w:val="en-US" w:eastAsia="zh-CN" w:bidi="ar-SA"/>
        </w:rPr>
        <w:t>0551-64298232</w:t>
      </w:r>
    </w:p>
    <w:p w14:paraId="7E64A404">
      <w:pPr>
        <w:pStyle w:val="38"/>
        <w:keepNext w:val="0"/>
        <w:autoSpaceDE/>
        <w:autoSpaceDN/>
        <w:spacing w:line="540" w:lineRule="exact"/>
        <w:ind w:firstLine="560" w:firstLineChars="200"/>
        <w:jc w:val="righ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2026</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 xml:space="preserve">4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28</w:t>
      </w:r>
      <w:r>
        <w:rPr>
          <w:rFonts w:hint="eastAsia" w:asciiTheme="minorEastAsia" w:hAnsiTheme="minorEastAsia" w:eastAsiaTheme="minorEastAsia" w:cstheme="minorEastAsia"/>
          <w:color w:val="auto"/>
          <w:sz w:val="28"/>
          <w:szCs w:val="28"/>
          <w:highlight w:val="none"/>
        </w:rPr>
        <w:t>日</w:t>
      </w:r>
    </w:p>
    <w:p w14:paraId="2AE1990A">
      <w:pPr>
        <w:spacing w:line="560" w:lineRule="exact"/>
        <w:ind w:firstLine="560" w:firstLineChars="200"/>
        <w:jc w:val="left"/>
        <w:rPr>
          <w:rFonts w:hint="eastAsia" w:asciiTheme="minorEastAsia" w:hAnsiTheme="minorEastAsia" w:cstheme="minorEastAsia"/>
          <w:color w:val="auto"/>
          <w:sz w:val="28"/>
          <w:szCs w:val="28"/>
          <w:highlight w:val="none"/>
        </w:rPr>
      </w:pPr>
    </w:p>
    <w:p w14:paraId="4DA4B235">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bookmarkStart w:id="39" w:name="_Toc13658"/>
    </w:p>
    <w:p w14:paraId="2207DF9F">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793741D7">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57B3D5DC">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2036D974">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2B8EA620">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520D48F9">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15CBCE64">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16A01DFB">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2B0D492B">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6C86A74B">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3B1E90EC">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3A084B36">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489AAC28">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6D007B8B">
      <w:pPr>
        <w:rPr>
          <w:rFonts w:ascii="Times New Roman" w:hAnsi="Times New Roman" w:eastAsia="黑体" w:cs="Times New Roman"/>
          <w:b w:val="0"/>
          <w:bCs w:val="0"/>
          <w:color w:val="auto"/>
          <w:szCs w:val="44"/>
          <w:highlight w:val="none"/>
        </w:rPr>
      </w:pPr>
    </w:p>
    <w:p w14:paraId="5EC182FF">
      <w:pPr>
        <w:rPr>
          <w:rFonts w:ascii="Times New Roman" w:hAnsi="Times New Roman" w:eastAsia="黑体" w:cs="Times New Roman"/>
          <w:b w:val="0"/>
          <w:bCs w:val="0"/>
          <w:color w:val="auto"/>
          <w:szCs w:val="44"/>
          <w:highlight w:val="none"/>
        </w:rPr>
      </w:pPr>
    </w:p>
    <w:p w14:paraId="1E69A96C">
      <w:pPr>
        <w:rPr>
          <w:rFonts w:ascii="Times New Roman" w:hAnsi="Times New Roman" w:eastAsia="黑体" w:cs="Times New Roman"/>
          <w:b w:val="0"/>
          <w:bCs w:val="0"/>
          <w:color w:val="auto"/>
          <w:szCs w:val="44"/>
          <w:highlight w:val="none"/>
        </w:rPr>
      </w:pPr>
    </w:p>
    <w:p w14:paraId="203F60DE">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0C0A1C06">
      <w:pPr>
        <w:pStyle w:val="2"/>
        <w:keepNext w:val="0"/>
        <w:keepLines w:val="0"/>
        <w:numPr>
          <w:ilvl w:val="0"/>
          <w:numId w:val="0"/>
        </w:numPr>
        <w:spacing w:beforeLines="0" w:afterLines="0" w:line="560" w:lineRule="exact"/>
        <w:jc w:val="both"/>
        <w:rPr>
          <w:rFonts w:ascii="Times New Roman" w:hAnsi="Times New Roman" w:eastAsia="黑体" w:cs="Times New Roman"/>
          <w:b w:val="0"/>
          <w:bCs w:val="0"/>
          <w:color w:val="auto"/>
          <w:szCs w:val="44"/>
          <w:highlight w:val="none"/>
        </w:rPr>
      </w:pPr>
    </w:p>
    <w:p w14:paraId="4B58638A">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r>
        <w:rPr>
          <w:rFonts w:ascii="Times New Roman" w:hAnsi="Times New Roman" w:eastAsia="黑体" w:cs="Times New Roman"/>
          <w:b w:val="0"/>
          <w:bCs w:val="0"/>
          <w:color w:val="auto"/>
          <w:szCs w:val="44"/>
          <w:highlight w:val="none"/>
        </w:rPr>
        <w:t xml:space="preserve">第二章  </w:t>
      </w:r>
      <w:r>
        <w:rPr>
          <w:rFonts w:hint="default" w:ascii="Times New Roman" w:hAnsi="Times New Roman" w:eastAsia="黑体" w:cs="Times New Roman"/>
          <w:b w:val="0"/>
          <w:bCs w:val="0"/>
          <w:color w:val="auto"/>
          <w:szCs w:val="44"/>
          <w:highlight w:val="none"/>
          <w:lang w:eastAsia="zh-CN"/>
        </w:rPr>
        <w:t>服务商</w:t>
      </w:r>
      <w:r>
        <w:rPr>
          <w:rFonts w:ascii="Times New Roman" w:hAnsi="Times New Roman" w:eastAsia="黑体" w:cs="Times New Roman"/>
          <w:b w:val="0"/>
          <w:bCs w:val="0"/>
          <w:color w:val="auto"/>
          <w:szCs w:val="44"/>
          <w:highlight w:val="none"/>
        </w:rPr>
        <w:t>须知</w:t>
      </w:r>
      <w:bookmarkEnd w:id="39"/>
    </w:p>
    <w:p w14:paraId="3D8D94AE">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40" w:name="_Toc9067720"/>
      <w:bookmarkStart w:id="41" w:name="_Toc14201207"/>
      <w:bookmarkStart w:id="42" w:name="_Toc26656938"/>
      <w:r>
        <w:rPr>
          <w:rFonts w:hint="eastAsia" w:asciiTheme="minorEastAsia" w:hAnsiTheme="minorEastAsia" w:eastAsiaTheme="minorEastAsia" w:cstheme="minorEastAsia"/>
          <w:b/>
          <w:color w:val="auto"/>
          <w:sz w:val="28"/>
          <w:szCs w:val="28"/>
          <w:highlight w:val="none"/>
        </w:rPr>
        <w:t>1. 总则</w:t>
      </w:r>
      <w:bookmarkEnd w:id="40"/>
      <w:bookmarkEnd w:id="41"/>
      <w:bookmarkEnd w:id="42"/>
    </w:p>
    <w:p w14:paraId="429F58F3">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43" w:name="_Toc26656939"/>
      <w:bookmarkStart w:id="44" w:name="_Toc14201208"/>
      <w:r>
        <w:rPr>
          <w:rFonts w:hint="eastAsia" w:asciiTheme="minorEastAsia" w:hAnsiTheme="minorEastAsia" w:cstheme="minorEastAsia"/>
          <w:b/>
          <w:color w:val="auto"/>
          <w:sz w:val="28"/>
          <w:szCs w:val="28"/>
          <w:highlight w:val="none"/>
        </w:rPr>
        <w:t xml:space="preserve">1.1 </w:t>
      </w:r>
      <w:bookmarkEnd w:id="43"/>
      <w:bookmarkEnd w:id="44"/>
      <w:bookmarkStart w:id="45" w:name="_Toc14201210"/>
      <w:bookmarkStart w:id="46" w:name="_Toc26656941"/>
      <w:r>
        <w:rPr>
          <w:rFonts w:hint="eastAsia" w:asciiTheme="minorEastAsia" w:hAnsiTheme="minorEastAsia" w:cstheme="minorEastAsia"/>
          <w:b/>
          <w:color w:val="auto"/>
          <w:sz w:val="28"/>
          <w:szCs w:val="28"/>
          <w:highlight w:val="none"/>
        </w:rPr>
        <w:t>服务要求</w:t>
      </w:r>
      <w:bookmarkEnd w:id="45"/>
      <w:bookmarkEnd w:id="46"/>
    </w:p>
    <w:p w14:paraId="6F521136">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1.1.1 本合同包的服务要求：</w:t>
      </w:r>
      <w:r>
        <w:rPr>
          <w:rFonts w:hint="eastAsia" w:asciiTheme="minorEastAsia" w:hAnsiTheme="minorEastAsia" w:cstheme="minorEastAsia"/>
          <w:color w:val="auto"/>
          <w:sz w:val="28"/>
          <w:szCs w:val="28"/>
          <w:highlight w:val="none"/>
          <w:u w:val="single"/>
        </w:rPr>
        <w:t>满足询比文件要求</w:t>
      </w:r>
      <w:r>
        <w:rPr>
          <w:rFonts w:hint="eastAsia" w:asciiTheme="minorEastAsia" w:hAnsiTheme="minorEastAsia" w:cstheme="minorEastAsia"/>
          <w:color w:val="auto"/>
          <w:sz w:val="28"/>
          <w:szCs w:val="28"/>
          <w:highlight w:val="none"/>
        </w:rPr>
        <w:t>。</w:t>
      </w:r>
    </w:p>
    <w:p w14:paraId="03642B85">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47" w:name="_Toc14201211"/>
      <w:bookmarkStart w:id="48" w:name="_Toc26656942"/>
      <w:r>
        <w:rPr>
          <w:rFonts w:hint="eastAsia" w:asciiTheme="minorEastAsia" w:hAnsiTheme="minorEastAsia" w:cstheme="minorEastAsia"/>
          <w:b/>
          <w:color w:val="auto"/>
          <w:sz w:val="28"/>
          <w:szCs w:val="28"/>
          <w:highlight w:val="none"/>
        </w:rPr>
        <w:t xml:space="preserve">1.2 </w:t>
      </w:r>
      <w:r>
        <w:rPr>
          <w:rFonts w:hint="eastAsia" w:asciiTheme="minorEastAsia" w:hAnsiTheme="minorEastAsia" w:cstheme="minorEastAsia"/>
          <w:b/>
          <w:color w:val="auto"/>
          <w:sz w:val="28"/>
          <w:szCs w:val="28"/>
          <w:highlight w:val="none"/>
          <w:lang w:eastAsia="zh-CN"/>
        </w:rPr>
        <w:t>服务商</w:t>
      </w:r>
      <w:r>
        <w:rPr>
          <w:rFonts w:hint="eastAsia" w:asciiTheme="minorEastAsia" w:hAnsiTheme="minorEastAsia" w:cstheme="minorEastAsia"/>
          <w:b/>
          <w:color w:val="auto"/>
          <w:sz w:val="28"/>
          <w:szCs w:val="28"/>
          <w:highlight w:val="none"/>
        </w:rPr>
        <w:t>资格要求</w:t>
      </w:r>
      <w:bookmarkEnd w:id="47"/>
      <w:bookmarkEnd w:id="48"/>
    </w:p>
    <w:p w14:paraId="0608E706">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1.2.1</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应具备承担本合同包服务的资质条件、能力和信誉：详见第一章 采购邀请书第3.1款要求。</w:t>
      </w:r>
    </w:p>
    <w:p w14:paraId="55430B46">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49" w:name="_Toc26656943"/>
      <w:bookmarkStart w:id="50" w:name="_Toc14201212"/>
      <w:r>
        <w:rPr>
          <w:rFonts w:hint="eastAsia" w:asciiTheme="minorEastAsia" w:hAnsiTheme="minorEastAsia" w:cstheme="minorEastAsia"/>
          <w:b/>
          <w:color w:val="auto"/>
          <w:sz w:val="28"/>
          <w:szCs w:val="28"/>
          <w:highlight w:val="none"/>
        </w:rPr>
        <w:t>1.3 费用承担</w:t>
      </w:r>
      <w:bookmarkEnd w:id="49"/>
      <w:bookmarkEnd w:id="50"/>
    </w:p>
    <w:p w14:paraId="281CCDF5">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1.3.1</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准备和参加询比活动发生的费用自理。</w:t>
      </w:r>
    </w:p>
    <w:p w14:paraId="797CFF7A">
      <w:pPr>
        <w:spacing w:line="560" w:lineRule="exact"/>
        <w:ind w:firstLine="562"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1.3.2本项目的项目代理服务费由竞标人自行报价，代理服务费作为代理报酬由成交人支付，以第六章响应文件格式（第七条）代理费用确认函形式确认，并单独密封报送。</w:t>
      </w:r>
    </w:p>
    <w:p w14:paraId="53F218CA">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51" w:name="_Toc14201213"/>
      <w:bookmarkStart w:id="52" w:name="_Toc26656944"/>
      <w:r>
        <w:rPr>
          <w:rFonts w:hint="eastAsia" w:asciiTheme="minorEastAsia" w:hAnsiTheme="minorEastAsia" w:cstheme="minorEastAsia"/>
          <w:b/>
          <w:color w:val="auto"/>
          <w:sz w:val="28"/>
          <w:szCs w:val="28"/>
          <w:highlight w:val="none"/>
        </w:rPr>
        <w:t>1.4 保密</w:t>
      </w:r>
      <w:bookmarkEnd w:id="51"/>
      <w:bookmarkEnd w:id="52"/>
    </w:p>
    <w:p w14:paraId="210786F5">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参与询比活动的各方应对询比文件和响应文件中的商业和技术等秘密保密，否则应承担相应的法律责任。</w:t>
      </w:r>
    </w:p>
    <w:p w14:paraId="4D6419E5">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53" w:name="_Toc26656946"/>
      <w:bookmarkStart w:id="54" w:name="_Toc14201215"/>
      <w:r>
        <w:rPr>
          <w:rFonts w:hint="eastAsia" w:asciiTheme="minorEastAsia" w:hAnsiTheme="minorEastAsia" w:cstheme="minorEastAsia"/>
          <w:b/>
          <w:color w:val="auto"/>
          <w:sz w:val="28"/>
          <w:szCs w:val="28"/>
          <w:highlight w:val="none"/>
        </w:rPr>
        <w:t>1.5 计量单位</w:t>
      </w:r>
      <w:bookmarkEnd w:id="53"/>
      <w:bookmarkEnd w:id="54"/>
    </w:p>
    <w:p w14:paraId="4CC93CC8">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所有计量均采用中华人民共和国法定计量单位。</w:t>
      </w:r>
    </w:p>
    <w:p w14:paraId="03B658A4">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55" w:name="_Toc26656947"/>
      <w:bookmarkStart w:id="56" w:name="_Toc14201216"/>
      <w:r>
        <w:rPr>
          <w:rFonts w:hint="eastAsia" w:asciiTheme="minorEastAsia" w:hAnsiTheme="minorEastAsia" w:cstheme="minorEastAsia"/>
          <w:b/>
          <w:color w:val="auto"/>
          <w:sz w:val="28"/>
          <w:szCs w:val="28"/>
          <w:highlight w:val="none"/>
        </w:rPr>
        <w:t>1.6 踏勘现场</w:t>
      </w:r>
      <w:bookmarkEnd w:id="55"/>
      <w:bookmarkEnd w:id="56"/>
    </w:p>
    <w:p w14:paraId="066ADF97">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自行踏勘现场且费用自理。</w:t>
      </w:r>
    </w:p>
    <w:p w14:paraId="3766702D">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57" w:name="_Toc14201218"/>
      <w:bookmarkStart w:id="58" w:name="_Toc26656949"/>
      <w:r>
        <w:rPr>
          <w:rFonts w:hint="eastAsia" w:asciiTheme="minorEastAsia" w:hAnsiTheme="minorEastAsia" w:cstheme="minorEastAsia"/>
          <w:b/>
          <w:color w:val="auto"/>
          <w:sz w:val="28"/>
          <w:szCs w:val="28"/>
          <w:highlight w:val="none"/>
        </w:rPr>
        <w:t>1.7 分包</w:t>
      </w:r>
      <w:bookmarkEnd w:id="57"/>
      <w:bookmarkEnd w:id="58"/>
    </w:p>
    <w:p w14:paraId="77883BC3">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不允许分包。        </w:t>
      </w:r>
    </w:p>
    <w:p w14:paraId="216EE0CA">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59" w:name="_Toc14201219"/>
      <w:bookmarkStart w:id="60" w:name="_Toc26656950"/>
      <w:r>
        <w:rPr>
          <w:rFonts w:hint="eastAsia" w:asciiTheme="minorEastAsia" w:hAnsiTheme="minorEastAsia" w:cstheme="minorEastAsia"/>
          <w:b/>
          <w:color w:val="auto"/>
          <w:sz w:val="28"/>
          <w:szCs w:val="28"/>
          <w:highlight w:val="none"/>
        </w:rPr>
        <w:t>1.8 偏</w:t>
      </w:r>
      <w:bookmarkEnd w:id="59"/>
      <w:bookmarkEnd w:id="60"/>
      <w:r>
        <w:rPr>
          <w:rFonts w:hint="eastAsia" w:asciiTheme="minorEastAsia" w:hAnsiTheme="minorEastAsia" w:cstheme="minorEastAsia"/>
          <w:b/>
          <w:color w:val="auto"/>
          <w:sz w:val="28"/>
          <w:szCs w:val="28"/>
          <w:highlight w:val="none"/>
        </w:rPr>
        <w:t>差</w:t>
      </w:r>
    </w:p>
    <w:p w14:paraId="2633EB91">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1.8.1 偏差包括重大偏差和细微偏差。</w:t>
      </w:r>
    </w:p>
    <w:p w14:paraId="10E2FA7F">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1.8.2 响应文件存在第三章“评审办法”中所列任一否决响应文件情形的，均属于存在重大偏差，响应文件将被否决。</w:t>
      </w:r>
    </w:p>
    <w:p w14:paraId="5D360B38">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61" w:name="_Toc9067721"/>
      <w:bookmarkStart w:id="62" w:name="_Toc14201220"/>
      <w:bookmarkStart w:id="63" w:name="_Toc26656951"/>
      <w:r>
        <w:rPr>
          <w:rFonts w:hint="eastAsia" w:asciiTheme="minorEastAsia" w:hAnsiTheme="minorEastAsia" w:eastAsiaTheme="minorEastAsia" w:cstheme="minorEastAsia"/>
          <w:b/>
          <w:color w:val="auto"/>
          <w:sz w:val="28"/>
          <w:szCs w:val="28"/>
          <w:highlight w:val="none"/>
        </w:rPr>
        <w:t>2</w:t>
      </w:r>
      <w:bookmarkEnd w:id="61"/>
      <w:bookmarkEnd w:id="62"/>
      <w:bookmarkEnd w:id="63"/>
      <w:r>
        <w:rPr>
          <w:rFonts w:hint="eastAsia" w:asciiTheme="minorEastAsia" w:hAnsiTheme="minorEastAsia" w:eastAsiaTheme="minorEastAsia" w:cstheme="minorEastAsia"/>
          <w:b/>
          <w:color w:val="auto"/>
          <w:sz w:val="28"/>
          <w:szCs w:val="28"/>
          <w:highlight w:val="none"/>
        </w:rPr>
        <w:t>. 询比文件</w:t>
      </w:r>
    </w:p>
    <w:p w14:paraId="4A7B3FBD">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64" w:name="_Toc26656952"/>
      <w:bookmarkStart w:id="65" w:name="_Toc14201221"/>
      <w:r>
        <w:rPr>
          <w:rFonts w:hint="eastAsia" w:asciiTheme="minorEastAsia" w:hAnsiTheme="minorEastAsia" w:cstheme="minorEastAsia"/>
          <w:b/>
          <w:color w:val="auto"/>
          <w:sz w:val="28"/>
          <w:szCs w:val="28"/>
          <w:highlight w:val="none"/>
        </w:rPr>
        <w:t>2.1 询比文件的组成</w:t>
      </w:r>
      <w:bookmarkEnd w:id="64"/>
      <w:bookmarkEnd w:id="65"/>
    </w:p>
    <w:p w14:paraId="3BE77DB1">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本询比文件包括：</w:t>
      </w:r>
    </w:p>
    <w:p w14:paraId="0A27C5B4">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（1）采购邀请书；</w:t>
      </w:r>
    </w:p>
    <w:p w14:paraId="1BAB36C3">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须知；</w:t>
      </w:r>
    </w:p>
    <w:p w14:paraId="43D897EA">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（3）评审办法；</w:t>
      </w:r>
    </w:p>
    <w:p w14:paraId="1D8A10B9">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（4）合同及格式条款；</w:t>
      </w:r>
    </w:p>
    <w:p w14:paraId="783B421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（5）服务标准；</w:t>
      </w:r>
    </w:p>
    <w:p w14:paraId="7D6ABE4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（6）响应文件格式。</w:t>
      </w:r>
    </w:p>
    <w:p w14:paraId="375FB7E3">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根据本章第2.2款对询比文件所作的澄清、修改，构成询比文件的组成部分。</w:t>
      </w:r>
    </w:p>
    <w:p w14:paraId="64028366">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当询比文件、询比文件的澄清或修改等在同一内容的表述上不一致时，以最后发出的书面文件为准。</w:t>
      </w:r>
    </w:p>
    <w:p w14:paraId="189A2151">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66" w:name="_Toc26656953"/>
      <w:bookmarkStart w:id="67" w:name="_Toc14201222"/>
      <w:r>
        <w:rPr>
          <w:rFonts w:hint="eastAsia" w:asciiTheme="minorEastAsia" w:hAnsiTheme="minorEastAsia" w:cstheme="minorEastAsia"/>
          <w:b/>
          <w:color w:val="auto"/>
          <w:sz w:val="28"/>
          <w:szCs w:val="28"/>
          <w:highlight w:val="none"/>
        </w:rPr>
        <w:t>2.2 询比文件的澄清</w:t>
      </w:r>
      <w:bookmarkEnd w:id="66"/>
      <w:bookmarkEnd w:id="67"/>
      <w:r>
        <w:rPr>
          <w:rFonts w:hint="eastAsia" w:asciiTheme="minorEastAsia" w:hAnsiTheme="minorEastAsia" w:cstheme="minorEastAsia"/>
          <w:b/>
          <w:color w:val="auto"/>
          <w:sz w:val="28"/>
          <w:szCs w:val="28"/>
          <w:highlight w:val="none"/>
        </w:rPr>
        <w:t>与修改</w:t>
      </w:r>
    </w:p>
    <w:p w14:paraId="14C40CCF">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2.2.1</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如有疑问，应在递交响应文件的截止时间前3日前联系招标代理机构确认递交书面材料要求采购人对询比文件予以澄清或修改。</w:t>
      </w:r>
    </w:p>
    <w:p w14:paraId="494D5917">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2.2.2 除非采购人认为确有必要答复，否则，采购人有权拒绝回复</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在本章第2.2.1项规定的时间后提出的任何澄清或修改要求。</w:t>
      </w:r>
    </w:p>
    <w:p w14:paraId="4C580A94">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68" w:name="_Toc26656956"/>
      <w:bookmarkStart w:id="69" w:name="_Toc14201225"/>
      <w:bookmarkStart w:id="70" w:name="_Toc9067722"/>
      <w:r>
        <w:rPr>
          <w:rFonts w:hint="eastAsia" w:asciiTheme="minorEastAsia" w:hAnsiTheme="minorEastAsia" w:eastAsiaTheme="minorEastAsia" w:cstheme="minorEastAsia"/>
          <w:b/>
          <w:color w:val="auto"/>
          <w:sz w:val="28"/>
          <w:szCs w:val="28"/>
          <w:highlight w:val="none"/>
        </w:rPr>
        <w:t xml:space="preserve">3. </w:t>
      </w:r>
      <w:bookmarkEnd w:id="68"/>
      <w:bookmarkEnd w:id="69"/>
      <w:bookmarkEnd w:id="70"/>
      <w:r>
        <w:rPr>
          <w:rFonts w:hint="eastAsia" w:asciiTheme="minorEastAsia" w:hAnsiTheme="minorEastAsia" w:eastAsiaTheme="minorEastAsia" w:cstheme="minorEastAsia"/>
          <w:b/>
          <w:color w:val="auto"/>
          <w:sz w:val="28"/>
          <w:szCs w:val="28"/>
          <w:highlight w:val="none"/>
        </w:rPr>
        <w:t>响应文件</w:t>
      </w:r>
    </w:p>
    <w:p w14:paraId="03D2362E">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71" w:name="_Toc14201226"/>
      <w:bookmarkStart w:id="72" w:name="_Toc26656957"/>
      <w:r>
        <w:rPr>
          <w:rFonts w:hint="eastAsia" w:asciiTheme="minorEastAsia" w:hAnsiTheme="minorEastAsia" w:cstheme="minorEastAsia"/>
          <w:b/>
          <w:color w:val="auto"/>
          <w:sz w:val="28"/>
          <w:szCs w:val="28"/>
          <w:highlight w:val="none"/>
        </w:rPr>
        <w:t>3.1响应文件的组成</w:t>
      </w:r>
      <w:bookmarkEnd w:id="71"/>
      <w:bookmarkEnd w:id="72"/>
    </w:p>
    <w:p w14:paraId="5E493CD5">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3.1.1响应文件应包括下列内容：</w:t>
      </w:r>
    </w:p>
    <w:p w14:paraId="5F69DAB7">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（1）报价函；</w:t>
      </w:r>
    </w:p>
    <w:p w14:paraId="2C1CC96D">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（2）法定代表人身份证明及授权委托书；</w:t>
      </w:r>
    </w:p>
    <w:p w14:paraId="1B11E642">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（3）已标价的报价清单；</w:t>
      </w:r>
    </w:p>
    <w:p w14:paraId="2F381E13">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基本情况；</w:t>
      </w:r>
    </w:p>
    <w:p w14:paraId="32649927">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（5）信誉情况；</w:t>
      </w:r>
    </w:p>
    <w:p w14:paraId="07B44A5F">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（6）服务与技术方案；</w:t>
      </w:r>
    </w:p>
    <w:p w14:paraId="4BE23CA3">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（7）其他材料。</w:t>
      </w:r>
    </w:p>
    <w:p w14:paraId="72D380F0">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73" w:name="_Toc14201227"/>
      <w:bookmarkStart w:id="74" w:name="_Toc26656958"/>
      <w:r>
        <w:rPr>
          <w:rFonts w:hint="eastAsia" w:asciiTheme="minorEastAsia" w:hAnsiTheme="minorEastAsia" w:cstheme="minorEastAsia"/>
          <w:b/>
          <w:color w:val="auto"/>
          <w:sz w:val="28"/>
          <w:szCs w:val="28"/>
          <w:highlight w:val="none"/>
        </w:rPr>
        <w:t>3.2 报价</w:t>
      </w:r>
      <w:bookmarkEnd w:id="73"/>
      <w:bookmarkEnd w:id="74"/>
      <w:r>
        <w:rPr>
          <w:rFonts w:hint="eastAsia" w:asciiTheme="minorEastAsia" w:hAnsiTheme="minorEastAsia" w:cstheme="minorEastAsia"/>
          <w:b/>
          <w:color w:val="auto"/>
          <w:sz w:val="28"/>
          <w:szCs w:val="28"/>
          <w:highlight w:val="none"/>
        </w:rPr>
        <w:t xml:space="preserve">要求 </w:t>
      </w:r>
    </w:p>
    <w:p w14:paraId="2626C80E">
      <w:pPr>
        <w:spacing w:line="560" w:lineRule="exact"/>
        <w:ind w:firstLine="560"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color w:val="auto"/>
          <w:sz w:val="28"/>
          <w:szCs w:val="28"/>
          <w:highlight w:val="none"/>
        </w:rPr>
        <w:t xml:space="preserve">3.2.1 </w:t>
      </w:r>
      <w:r>
        <w:rPr>
          <w:rFonts w:hint="eastAsia" w:asciiTheme="minorEastAsia" w:hAnsiTheme="minorEastAsia" w:cstheme="minorEastAsia"/>
          <w:b/>
          <w:bCs/>
          <w:color w:val="auto"/>
          <w:sz w:val="28"/>
          <w:szCs w:val="28"/>
          <w:highlight w:val="none"/>
        </w:rPr>
        <w:t>报价包括国家规定的增值税税金。若结算时开具的发票为增值税普通发票，则在成交金额的基础上扣除6%作为最终结算金额。</w:t>
      </w:r>
    </w:p>
    <w:p w14:paraId="644BE926">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3.2.2 </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应按第六章“响应文件格式”的要求在报价函中进行报价并填写报价清单相应表格。</w:t>
      </w:r>
    </w:p>
    <w:p w14:paraId="0F4BEE82">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3.2.3 采购人设有最高限价的，</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的报价不得超过最高限价，否则其报价将被否决，最高限价见第一章“采购邀请书”第2.5款。</w:t>
      </w:r>
    </w:p>
    <w:p w14:paraId="304137C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3.2.4本项目的</w:t>
      </w:r>
      <w:r>
        <w:rPr>
          <w:rFonts w:hint="eastAsia" w:asciiTheme="minorEastAsia" w:hAnsiTheme="minorEastAsia" w:cstheme="minorEastAsia"/>
          <w:color w:val="auto"/>
          <w:sz w:val="28"/>
          <w:szCs w:val="28"/>
          <w:highlight w:val="none"/>
          <w:lang w:eastAsia="zh-CN"/>
        </w:rPr>
        <w:t>响应人</w:t>
      </w:r>
      <w:r>
        <w:rPr>
          <w:rFonts w:hint="eastAsia" w:asciiTheme="minorEastAsia" w:hAnsiTheme="minorEastAsia" w:cstheme="minorEastAsia"/>
          <w:color w:val="auto"/>
          <w:sz w:val="28"/>
          <w:szCs w:val="28"/>
          <w:highlight w:val="none"/>
        </w:rPr>
        <w:t>式为：总</w:t>
      </w:r>
      <w:r>
        <w:rPr>
          <w:rFonts w:hint="eastAsia" w:asciiTheme="minorEastAsia" w:hAnsiTheme="minorEastAsia" w:cstheme="minorEastAsia"/>
          <w:color w:val="auto"/>
          <w:sz w:val="28"/>
          <w:szCs w:val="28"/>
          <w:highlight w:val="none"/>
          <w:u w:val="none"/>
        </w:rPr>
        <w:t>费率均价下浮比例；</w:t>
      </w:r>
    </w:p>
    <w:p w14:paraId="5FE84B94">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75" w:name="_Toc26656959"/>
      <w:bookmarkStart w:id="76" w:name="_Toc14201228"/>
      <w:r>
        <w:rPr>
          <w:rFonts w:hint="eastAsia" w:asciiTheme="minorEastAsia" w:hAnsiTheme="minorEastAsia" w:cstheme="minorEastAsia"/>
          <w:b/>
          <w:color w:val="auto"/>
          <w:sz w:val="28"/>
          <w:szCs w:val="28"/>
          <w:highlight w:val="none"/>
        </w:rPr>
        <w:t>3.3</w:t>
      </w:r>
      <w:bookmarkEnd w:id="75"/>
      <w:bookmarkEnd w:id="76"/>
      <w:r>
        <w:rPr>
          <w:rFonts w:hint="eastAsia" w:asciiTheme="minorEastAsia" w:hAnsiTheme="minorEastAsia" w:cstheme="minorEastAsia"/>
          <w:b/>
          <w:color w:val="auto"/>
          <w:sz w:val="28"/>
          <w:szCs w:val="28"/>
          <w:highlight w:val="none"/>
        </w:rPr>
        <w:t>响应有效期</w:t>
      </w:r>
    </w:p>
    <w:p w14:paraId="391E0119">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3.3.1 响应有效期为自</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递交响应文件截止之日起计算90日。</w:t>
      </w:r>
    </w:p>
    <w:p w14:paraId="3113B51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3.3.2 在响应有效期内，</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撤销响应文件的，应承担询比文件和法律规定的责任。</w:t>
      </w:r>
    </w:p>
    <w:p w14:paraId="53E5964C">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77" w:name="_Toc26656960"/>
      <w:bookmarkStart w:id="78" w:name="_Toc14201229"/>
      <w:r>
        <w:rPr>
          <w:rFonts w:hint="eastAsia" w:asciiTheme="minorEastAsia" w:hAnsiTheme="minorEastAsia" w:cstheme="minorEastAsia"/>
          <w:b/>
          <w:color w:val="auto"/>
          <w:sz w:val="28"/>
          <w:szCs w:val="28"/>
          <w:highlight w:val="none"/>
        </w:rPr>
        <w:t>3.4</w:t>
      </w:r>
      <w:bookmarkEnd w:id="77"/>
      <w:bookmarkEnd w:id="78"/>
      <w:r>
        <w:rPr>
          <w:rFonts w:hint="eastAsia" w:asciiTheme="minorEastAsia" w:hAnsiTheme="minorEastAsia" w:cstheme="minorEastAsia"/>
          <w:b/>
          <w:color w:val="auto"/>
          <w:sz w:val="28"/>
          <w:szCs w:val="28"/>
          <w:highlight w:val="none"/>
        </w:rPr>
        <w:t>响应保证金</w:t>
      </w:r>
    </w:p>
    <w:p w14:paraId="4EE5EF09">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详见第一章</w:t>
      </w:r>
      <w:r>
        <w:rPr>
          <w:rFonts w:hint="eastAsia" w:asciiTheme="minorEastAsia" w:hAnsiTheme="minorEastAsia" w:cstheme="minorEastAsia"/>
          <w:color w:val="auto"/>
          <w:sz w:val="28"/>
          <w:szCs w:val="28"/>
          <w:highlight w:val="none"/>
          <w:lang w:val="en-US" w:eastAsia="zh-CN"/>
        </w:rPr>
        <w:t xml:space="preserve"> 第8条</w:t>
      </w:r>
      <w:r>
        <w:rPr>
          <w:rFonts w:hint="eastAsia" w:asciiTheme="minorEastAsia" w:hAnsiTheme="minorEastAsia" w:cstheme="minorEastAsia"/>
          <w:color w:val="auto"/>
          <w:sz w:val="28"/>
          <w:szCs w:val="28"/>
          <w:highlight w:val="none"/>
        </w:rPr>
        <w:t>响应保证金</w:t>
      </w:r>
      <w:r>
        <w:rPr>
          <w:rFonts w:hint="eastAsia" w:asciiTheme="minorEastAsia" w:hAnsiTheme="minorEastAsia" w:cstheme="minorEastAsia"/>
          <w:color w:val="auto"/>
          <w:sz w:val="28"/>
          <w:szCs w:val="28"/>
          <w:highlight w:val="none"/>
          <w:lang w:val="en-US" w:eastAsia="zh-CN"/>
        </w:rPr>
        <w:t>的</w:t>
      </w:r>
      <w:r>
        <w:rPr>
          <w:rFonts w:hint="eastAsia" w:asciiTheme="minorEastAsia" w:hAnsiTheme="minorEastAsia" w:cstheme="minorEastAsia"/>
          <w:color w:val="auto"/>
          <w:sz w:val="28"/>
          <w:szCs w:val="28"/>
          <w:highlight w:val="none"/>
        </w:rPr>
        <w:t>要求。</w:t>
      </w:r>
    </w:p>
    <w:p w14:paraId="395A9D96">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79" w:name="_Toc14201230"/>
      <w:bookmarkStart w:id="80" w:name="_Toc26656961"/>
      <w:r>
        <w:rPr>
          <w:rFonts w:hint="eastAsia" w:asciiTheme="minorEastAsia" w:hAnsiTheme="minorEastAsia" w:cstheme="minorEastAsia"/>
          <w:b/>
          <w:color w:val="auto"/>
          <w:sz w:val="28"/>
          <w:szCs w:val="28"/>
          <w:highlight w:val="none"/>
        </w:rPr>
        <w:t>3.5资格审查资料</w:t>
      </w:r>
      <w:bookmarkEnd w:id="79"/>
      <w:bookmarkEnd w:id="80"/>
    </w:p>
    <w:p w14:paraId="169DC7D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应按第六章“响应文件格式”的规定提供资格审查资料，以证明其满足本章第1.2款规定的资质、业绩、信誉等要求。</w:t>
      </w:r>
    </w:p>
    <w:p w14:paraId="7E0A948A">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81" w:name="_Toc26656963"/>
      <w:bookmarkStart w:id="82" w:name="_Toc14201232"/>
      <w:r>
        <w:rPr>
          <w:rFonts w:hint="eastAsia" w:asciiTheme="minorEastAsia" w:hAnsiTheme="minorEastAsia" w:cstheme="minorEastAsia"/>
          <w:b/>
          <w:color w:val="auto"/>
          <w:sz w:val="28"/>
          <w:szCs w:val="28"/>
          <w:highlight w:val="none"/>
        </w:rPr>
        <w:t>3.6响应文件的编制</w:t>
      </w:r>
      <w:bookmarkEnd w:id="81"/>
      <w:bookmarkEnd w:id="82"/>
    </w:p>
    <w:p w14:paraId="6C987A12">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3.6.1 响应文件应按第六章“响应文件格式”进行编写，如有必要，可以增加附页，作为响应文件的组成部分。</w:t>
      </w:r>
    </w:p>
    <w:p w14:paraId="392B06D4">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3.6.2 响应文件应当对询比文件有关服务期、响应有效期、质量要求、安全目标、技术标准和要求、采购范围等实质性内容作出响应。</w:t>
      </w:r>
    </w:p>
    <w:p w14:paraId="38CF0E3E">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3.6.3响应文件的制作应满足以下规定：</w:t>
      </w:r>
    </w:p>
    <w:p w14:paraId="121C95F8">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（1）响应文件应用不褪色的材料书写或打印，并按第六章“响应文件格式”的要求进行签名和（或）盖章。响应文件不得涂改、行间插字或删除。如果出现上述情况，改动之处应由</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的法定代表人或其授权的代理人签名并盖单位章。</w:t>
      </w:r>
    </w:p>
    <w:p w14:paraId="306E68D8">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（2）响应文件正本一份，副本一份数。正本和副本的封面右上角上应清楚地标记“正本”或“副本”的字样。当副本和正本不一致时，以正本文件为准。</w:t>
      </w:r>
    </w:p>
    <w:p w14:paraId="6679D25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（3）响应文件的正本与副本应分别装订。</w:t>
      </w:r>
    </w:p>
    <w:p w14:paraId="3E6D8035">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83" w:name="_Toc26656964"/>
      <w:bookmarkStart w:id="84" w:name="_Toc9067723"/>
      <w:bookmarkStart w:id="85" w:name="_Toc14201233"/>
      <w:r>
        <w:rPr>
          <w:rFonts w:hint="eastAsia" w:asciiTheme="minorEastAsia" w:hAnsiTheme="minorEastAsia" w:eastAsiaTheme="minorEastAsia" w:cstheme="minorEastAsia"/>
          <w:b/>
          <w:color w:val="auto"/>
          <w:sz w:val="28"/>
          <w:szCs w:val="28"/>
          <w:highlight w:val="none"/>
        </w:rPr>
        <w:t xml:space="preserve">4. </w:t>
      </w:r>
      <w:bookmarkEnd w:id="83"/>
      <w:bookmarkEnd w:id="84"/>
      <w:bookmarkEnd w:id="85"/>
      <w:r>
        <w:rPr>
          <w:rFonts w:hint="eastAsia" w:asciiTheme="minorEastAsia" w:hAnsiTheme="minorEastAsia" w:eastAsiaTheme="minorEastAsia" w:cstheme="minorEastAsia"/>
          <w:b/>
          <w:color w:val="auto"/>
          <w:sz w:val="28"/>
          <w:szCs w:val="28"/>
          <w:highlight w:val="none"/>
        </w:rPr>
        <w:t>响应文件的递交</w:t>
      </w:r>
    </w:p>
    <w:p w14:paraId="10E34215">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86" w:name="_Toc26656965"/>
      <w:bookmarkStart w:id="87" w:name="_Toc14201234"/>
      <w:r>
        <w:rPr>
          <w:rFonts w:hint="eastAsia" w:asciiTheme="minorEastAsia" w:hAnsiTheme="minorEastAsia" w:cstheme="minorEastAsia"/>
          <w:b/>
          <w:color w:val="auto"/>
          <w:sz w:val="28"/>
          <w:szCs w:val="28"/>
          <w:highlight w:val="none"/>
        </w:rPr>
        <w:t>4.1响应文件的密封和标记</w:t>
      </w:r>
      <w:bookmarkEnd w:id="86"/>
      <w:bookmarkEnd w:id="87"/>
    </w:p>
    <w:p w14:paraId="1BCA53F3">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4.1.1响应文件正、副本应密封包装在一个封套内，封套上注明：</w:t>
      </w:r>
    </w:p>
    <w:p w14:paraId="07861889">
      <w:pPr>
        <w:spacing w:line="560" w:lineRule="exact"/>
        <w:ind w:firstLine="560" w:firstLineChars="200"/>
        <w:jc w:val="left"/>
        <w:rPr>
          <w:rFonts w:hint="eastAsia" w:asciiTheme="minorEastAsia" w:hAnsiTheme="minorEastAsia" w:cstheme="minorEastAsia"/>
          <w:bCs/>
          <w:snapToGrid w:val="0"/>
          <w:color w:val="auto"/>
          <w:kern w:val="0"/>
          <w:sz w:val="28"/>
          <w:szCs w:val="28"/>
          <w:highlight w:val="none"/>
        </w:rPr>
      </w:pPr>
      <w:r>
        <w:rPr>
          <w:rFonts w:hint="eastAsia" w:asciiTheme="minorEastAsia" w:hAnsiTheme="minorEastAsia" w:cstheme="minorEastAsia"/>
          <w:bCs/>
          <w:snapToGrid w:val="0"/>
          <w:color w:val="auto"/>
          <w:kern w:val="0"/>
          <w:sz w:val="28"/>
          <w:szCs w:val="28"/>
          <w:highlight w:val="none"/>
          <w:lang w:eastAsia="zh-CN"/>
        </w:rPr>
        <w:t>服务商</w:t>
      </w:r>
      <w:r>
        <w:rPr>
          <w:rFonts w:hint="eastAsia" w:asciiTheme="minorEastAsia" w:hAnsiTheme="minorEastAsia" w:cstheme="minorEastAsia"/>
          <w:bCs/>
          <w:snapToGrid w:val="0"/>
          <w:color w:val="auto"/>
          <w:kern w:val="0"/>
          <w:sz w:val="28"/>
          <w:szCs w:val="28"/>
          <w:highlight w:val="none"/>
        </w:rPr>
        <w:t>名称：</w:t>
      </w:r>
      <w:r>
        <w:rPr>
          <w:rFonts w:hint="eastAsia" w:asciiTheme="minorEastAsia" w:hAnsiTheme="minorEastAsia" w:cstheme="minorEastAsia"/>
          <w:bCs/>
          <w:snapToGrid w:val="0"/>
          <w:color w:val="auto"/>
          <w:kern w:val="0"/>
          <w:sz w:val="28"/>
          <w:szCs w:val="28"/>
          <w:highlight w:val="none"/>
          <w:u w:val="single"/>
        </w:rPr>
        <w:t xml:space="preserve">            </w:t>
      </w:r>
    </w:p>
    <w:p w14:paraId="2EF93EEE">
      <w:pPr>
        <w:spacing w:line="560" w:lineRule="exact"/>
        <w:ind w:firstLine="560" w:firstLineChars="200"/>
        <w:jc w:val="left"/>
        <w:rPr>
          <w:rFonts w:hint="eastAsia" w:asciiTheme="minorEastAsia" w:hAnsiTheme="minorEastAsia" w:cstheme="minorEastAsia"/>
          <w:bCs/>
          <w:snapToGrid w:val="0"/>
          <w:color w:val="auto"/>
          <w:kern w:val="0"/>
          <w:sz w:val="28"/>
          <w:szCs w:val="28"/>
          <w:highlight w:val="none"/>
        </w:rPr>
      </w:pPr>
      <w:r>
        <w:rPr>
          <w:rFonts w:hint="eastAsia" w:asciiTheme="minorEastAsia" w:hAnsiTheme="minorEastAsia" w:cstheme="minorEastAsia"/>
          <w:bCs/>
          <w:snapToGrid w:val="0"/>
          <w:color w:val="auto"/>
          <w:kern w:val="0"/>
          <w:sz w:val="28"/>
          <w:szCs w:val="28"/>
          <w:highlight w:val="none"/>
          <w:u w:val="single"/>
        </w:rPr>
        <w:t xml:space="preserve">            </w:t>
      </w:r>
      <w:r>
        <w:rPr>
          <w:rFonts w:hint="eastAsia" w:asciiTheme="minorEastAsia" w:hAnsiTheme="minorEastAsia" w:cstheme="minorEastAsia"/>
          <w:bCs/>
          <w:snapToGrid w:val="0"/>
          <w:color w:val="auto"/>
          <w:kern w:val="0"/>
          <w:sz w:val="28"/>
          <w:szCs w:val="28"/>
          <w:highlight w:val="none"/>
        </w:rPr>
        <w:t>(项目</w:t>
      </w:r>
      <w:r>
        <w:rPr>
          <w:rFonts w:hint="eastAsia" w:asciiTheme="minorEastAsia" w:hAnsiTheme="minorEastAsia" w:cstheme="minorEastAsia"/>
          <w:color w:val="auto"/>
          <w:sz w:val="28"/>
          <w:szCs w:val="28"/>
          <w:highlight w:val="none"/>
        </w:rPr>
        <w:t>名称</w:t>
      </w:r>
      <w:r>
        <w:rPr>
          <w:rFonts w:hint="eastAsia" w:asciiTheme="minorEastAsia" w:hAnsiTheme="minorEastAsia" w:cstheme="minorEastAsia"/>
          <w:bCs/>
          <w:snapToGrid w:val="0"/>
          <w:color w:val="auto"/>
          <w:kern w:val="0"/>
          <w:sz w:val="28"/>
          <w:szCs w:val="28"/>
          <w:highlight w:val="none"/>
        </w:rPr>
        <w:t>)</w:t>
      </w:r>
      <w:r>
        <w:rPr>
          <w:rFonts w:hint="eastAsia" w:asciiTheme="minorEastAsia" w:hAnsiTheme="minorEastAsia" w:cstheme="minorEastAsia"/>
          <w:bCs/>
          <w:snapToGrid w:val="0"/>
          <w:color w:val="auto"/>
          <w:kern w:val="0"/>
          <w:sz w:val="28"/>
          <w:szCs w:val="28"/>
          <w:highlight w:val="none"/>
          <w:u w:val="single"/>
        </w:rPr>
        <w:t xml:space="preserve">      </w:t>
      </w:r>
      <w:r>
        <w:rPr>
          <w:rFonts w:hint="eastAsia" w:asciiTheme="minorEastAsia" w:hAnsiTheme="minorEastAsia" w:cstheme="minorEastAsia"/>
          <w:bCs/>
          <w:snapToGrid w:val="0"/>
          <w:color w:val="auto"/>
          <w:kern w:val="0"/>
          <w:sz w:val="28"/>
          <w:szCs w:val="28"/>
          <w:highlight w:val="none"/>
        </w:rPr>
        <w:t>合同包响应文件</w:t>
      </w:r>
    </w:p>
    <w:p w14:paraId="3E67D0F8">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Cs/>
          <w:snapToGrid w:val="0"/>
          <w:color w:val="auto"/>
          <w:kern w:val="0"/>
          <w:sz w:val="28"/>
          <w:szCs w:val="28"/>
          <w:highlight w:val="none"/>
        </w:rPr>
        <w:t>在</w:t>
      </w:r>
      <w:r>
        <w:rPr>
          <w:rFonts w:hint="eastAsia" w:asciiTheme="minorEastAsia" w:hAnsiTheme="minorEastAsia" w:cstheme="minorEastAsia"/>
          <w:bCs/>
          <w:snapToGrid w:val="0"/>
          <w:color w:val="auto"/>
          <w:kern w:val="0"/>
          <w:sz w:val="28"/>
          <w:szCs w:val="28"/>
          <w:highlight w:val="none"/>
          <w:u w:val="single"/>
        </w:rPr>
        <w:t xml:space="preserve">    </w:t>
      </w:r>
      <w:r>
        <w:rPr>
          <w:rFonts w:hint="eastAsia" w:asciiTheme="minorEastAsia" w:hAnsiTheme="minorEastAsia" w:cstheme="minorEastAsia"/>
          <w:bCs/>
          <w:snapToGrid w:val="0"/>
          <w:color w:val="auto"/>
          <w:kern w:val="0"/>
          <w:sz w:val="28"/>
          <w:szCs w:val="28"/>
          <w:highlight w:val="none"/>
        </w:rPr>
        <w:t>年</w:t>
      </w:r>
      <w:r>
        <w:rPr>
          <w:rFonts w:hint="eastAsia" w:asciiTheme="minorEastAsia" w:hAnsiTheme="minorEastAsia" w:cstheme="minorEastAsia"/>
          <w:bCs/>
          <w:snapToGrid w:val="0"/>
          <w:color w:val="auto"/>
          <w:kern w:val="0"/>
          <w:sz w:val="28"/>
          <w:szCs w:val="28"/>
          <w:highlight w:val="none"/>
          <w:u w:val="single"/>
        </w:rPr>
        <w:t xml:space="preserve">   </w:t>
      </w:r>
      <w:r>
        <w:rPr>
          <w:rFonts w:hint="eastAsia" w:asciiTheme="minorEastAsia" w:hAnsiTheme="minorEastAsia" w:cstheme="minorEastAsia"/>
          <w:bCs/>
          <w:snapToGrid w:val="0"/>
          <w:color w:val="auto"/>
          <w:kern w:val="0"/>
          <w:sz w:val="28"/>
          <w:szCs w:val="28"/>
          <w:highlight w:val="none"/>
        </w:rPr>
        <w:t>月</w:t>
      </w:r>
      <w:r>
        <w:rPr>
          <w:rFonts w:hint="eastAsia" w:asciiTheme="minorEastAsia" w:hAnsiTheme="minorEastAsia" w:cstheme="minorEastAsia"/>
          <w:bCs/>
          <w:snapToGrid w:val="0"/>
          <w:color w:val="auto"/>
          <w:kern w:val="0"/>
          <w:sz w:val="28"/>
          <w:szCs w:val="28"/>
          <w:highlight w:val="none"/>
          <w:u w:val="single"/>
        </w:rPr>
        <w:t xml:space="preserve">   </w:t>
      </w:r>
      <w:r>
        <w:rPr>
          <w:rFonts w:hint="eastAsia" w:asciiTheme="minorEastAsia" w:hAnsiTheme="minorEastAsia" w:cstheme="minorEastAsia"/>
          <w:bCs/>
          <w:snapToGrid w:val="0"/>
          <w:color w:val="auto"/>
          <w:kern w:val="0"/>
          <w:sz w:val="28"/>
          <w:szCs w:val="28"/>
          <w:highlight w:val="none"/>
        </w:rPr>
        <w:t>日</w:t>
      </w:r>
      <w:r>
        <w:rPr>
          <w:rFonts w:hint="eastAsia" w:asciiTheme="minorEastAsia" w:hAnsiTheme="minorEastAsia" w:cstheme="minorEastAsia"/>
          <w:bCs/>
          <w:snapToGrid w:val="0"/>
          <w:color w:val="auto"/>
          <w:kern w:val="0"/>
          <w:sz w:val="28"/>
          <w:szCs w:val="28"/>
          <w:highlight w:val="none"/>
          <w:u w:val="single"/>
        </w:rPr>
        <w:t xml:space="preserve">    </w:t>
      </w:r>
      <w:r>
        <w:rPr>
          <w:rFonts w:hint="eastAsia" w:asciiTheme="minorEastAsia" w:hAnsiTheme="minorEastAsia" w:cstheme="minorEastAsia"/>
          <w:bCs/>
          <w:snapToGrid w:val="0"/>
          <w:color w:val="auto"/>
          <w:kern w:val="0"/>
          <w:sz w:val="28"/>
          <w:szCs w:val="28"/>
          <w:highlight w:val="none"/>
        </w:rPr>
        <w:t>时</w:t>
      </w:r>
      <w:r>
        <w:rPr>
          <w:rFonts w:hint="eastAsia" w:asciiTheme="minorEastAsia" w:hAnsiTheme="minorEastAsia" w:cstheme="minorEastAsia"/>
          <w:bCs/>
          <w:snapToGrid w:val="0"/>
          <w:color w:val="auto"/>
          <w:kern w:val="0"/>
          <w:sz w:val="28"/>
          <w:szCs w:val="28"/>
          <w:highlight w:val="none"/>
          <w:u w:val="single"/>
        </w:rPr>
        <w:t xml:space="preserve">   </w:t>
      </w:r>
      <w:r>
        <w:rPr>
          <w:rFonts w:hint="eastAsia" w:asciiTheme="minorEastAsia" w:hAnsiTheme="minorEastAsia" w:cstheme="minorEastAsia"/>
          <w:bCs/>
          <w:snapToGrid w:val="0"/>
          <w:color w:val="auto"/>
          <w:kern w:val="0"/>
          <w:sz w:val="28"/>
          <w:szCs w:val="28"/>
          <w:highlight w:val="none"/>
        </w:rPr>
        <w:t>分（递交响应文件的截止时间）前不得开启</w:t>
      </w:r>
    </w:p>
    <w:p w14:paraId="1873B8E5">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4.1.2未按本章第4.1.1项要求密封的响应文件，采购人将予以拒收。</w:t>
      </w:r>
    </w:p>
    <w:p w14:paraId="5DF07349">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88" w:name="_Toc14201235"/>
      <w:bookmarkStart w:id="89" w:name="_Toc26656966"/>
      <w:r>
        <w:rPr>
          <w:rFonts w:hint="eastAsia" w:asciiTheme="minorEastAsia" w:hAnsiTheme="minorEastAsia" w:cstheme="minorEastAsia"/>
          <w:b/>
          <w:color w:val="auto"/>
          <w:sz w:val="28"/>
          <w:szCs w:val="28"/>
          <w:highlight w:val="none"/>
        </w:rPr>
        <w:t>4.2 响应文件的递交</w:t>
      </w:r>
      <w:bookmarkEnd w:id="88"/>
      <w:bookmarkEnd w:id="89"/>
    </w:p>
    <w:p w14:paraId="25FC85C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4.2.1</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应当按照第一章“采购邀请书”第</w:t>
      </w:r>
      <w:r>
        <w:rPr>
          <w:rFonts w:hint="eastAsia" w:asciiTheme="minorEastAsia" w:hAnsiTheme="minorEastAsia" w:cstheme="minorEastAsia"/>
          <w:color w:val="auto"/>
          <w:sz w:val="28"/>
          <w:szCs w:val="28"/>
          <w:highlight w:val="none"/>
          <w:lang w:val="en-US" w:eastAsia="zh-CN"/>
        </w:rPr>
        <w:t>6</w:t>
      </w:r>
      <w:r>
        <w:rPr>
          <w:rFonts w:hint="eastAsia" w:asciiTheme="minorEastAsia" w:hAnsiTheme="minorEastAsia" w:cstheme="minorEastAsia"/>
          <w:color w:val="auto"/>
          <w:sz w:val="28"/>
          <w:szCs w:val="28"/>
          <w:highlight w:val="none"/>
        </w:rPr>
        <w:t>条的规定递交响应文件。</w:t>
      </w:r>
    </w:p>
    <w:p w14:paraId="5B72449E">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4.2.2 递交响应文件的</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数量不足3家时，采购人将宣布本次采购失败，并退还已递交的响应文件。</w:t>
      </w:r>
    </w:p>
    <w:p w14:paraId="1990DDAF">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4.2.3 除第4.2.2项规定外，</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所递交的响应文件不予退还。</w:t>
      </w:r>
    </w:p>
    <w:p w14:paraId="1E51BC6C">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90" w:name="_Toc14201237"/>
      <w:bookmarkStart w:id="91" w:name="_Toc9067724"/>
      <w:bookmarkStart w:id="92" w:name="_Toc26656968"/>
      <w:r>
        <w:rPr>
          <w:rFonts w:hint="eastAsia" w:asciiTheme="minorEastAsia" w:hAnsiTheme="minorEastAsia" w:eastAsiaTheme="minorEastAsia" w:cstheme="minorEastAsia"/>
          <w:b/>
          <w:color w:val="auto"/>
          <w:sz w:val="28"/>
          <w:szCs w:val="28"/>
          <w:highlight w:val="none"/>
        </w:rPr>
        <w:t xml:space="preserve">5. </w:t>
      </w:r>
      <w:bookmarkEnd w:id="90"/>
      <w:bookmarkEnd w:id="91"/>
      <w:bookmarkEnd w:id="92"/>
      <w:r>
        <w:rPr>
          <w:rFonts w:hint="eastAsia" w:asciiTheme="minorEastAsia" w:hAnsiTheme="minorEastAsia" w:eastAsiaTheme="minorEastAsia" w:cstheme="minorEastAsia"/>
          <w:b/>
          <w:color w:val="auto"/>
          <w:sz w:val="28"/>
          <w:szCs w:val="28"/>
          <w:highlight w:val="none"/>
        </w:rPr>
        <w:t>启封</w:t>
      </w:r>
    </w:p>
    <w:p w14:paraId="71183169">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93" w:name="_Toc26656969"/>
      <w:bookmarkStart w:id="94" w:name="_Toc14201238"/>
      <w:r>
        <w:rPr>
          <w:rFonts w:hint="eastAsia" w:asciiTheme="minorEastAsia" w:hAnsiTheme="minorEastAsia" w:cstheme="minorEastAsia"/>
          <w:b/>
          <w:color w:val="auto"/>
          <w:sz w:val="28"/>
          <w:szCs w:val="28"/>
          <w:highlight w:val="none"/>
        </w:rPr>
        <w:t>5.1 启封时间和地点</w:t>
      </w:r>
      <w:bookmarkEnd w:id="93"/>
      <w:bookmarkEnd w:id="94"/>
    </w:p>
    <w:p w14:paraId="48FDF91F">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采购人在本章第4.2.1项规定的响应文件递交截止时间（启封时间），按照第一章“采购邀请书”第6条的规定进行启封。</w:t>
      </w:r>
    </w:p>
    <w:p w14:paraId="1EA9EFCF">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若未派法定代表人或其委托代理人出席启封活动，视为该</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默认启封结果。</w:t>
      </w:r>
    </w:p>
    <w:p w14:paraId="1524ADFA">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95" w:name="_Toc26656970"/>
      <w:bookmarkStart w:id="96" w:name="_Toc14201239"/>
      <w:r>
        <w:rPr>
          <w:rFonts w:hint="eastAsia" w:asciiTheme="minorEastAsia" w:hAnsiTheme="minorEastAsia" w:cstheme="minorEastAsia"/>
          <w:b/>
          <w:color w:val="auto"/>
          <w:sz w:val="28"/>
          <w:szCs w:val="28"/>
          <w:highlight w:val="none"/>
        </w:rPr>
        <w:t>5.2启封程序</w:t>
      </w:r>
      <w:bookmarkEnd w:id="95"/>
      <w:bookmarkEnd w:id="96"/>
    </w:p>
    <w:p w14:paraId="7F85FE0C">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5.2.1主持人按下列程序进行启封： </w:t>
      </w:r>
    </w:p>
    <w:p w14:paraId="37BE79B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（1）公布在响应文件递交截止时间前递交响应文件的</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名称；</w:t>
      </w:r>
    </w:p>
    <w:p w14:paraId="79790157">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（2）由</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 xml:space="preserve">推选的代表检查响应文件的密封情况； </w:t>
      </w:r>
    </w:p>
    <w:p w14:paraId="48617A15">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color w:val="auto"/>
          <w:sz w:val="28"/>
          <w:szCs w:val="28"/>
          <w:highlight w:val="none"/>
        </w:rPr>
        <w:t>（3）</w:t>
      </w:r>
      <w:r>
        <w:rPr>
          <w:rFonts w:hint="eastAsia" w:asciiTheme="minorEastAsia" w:hAnsiTheme="minorEastAsia" w:cstheme="minorEastAsia"/>
          <w:bCs/>
          <w:color w:val="auto"/>
          <w:sz w:val="28"/>
          <w:szCs w:val="28"/>
          <w:highlight w:val="none"/>
        </w:rPr>
        <w:t>对响应文件进行启封，公布</w:t>
      </w:r>
      <w:r>
        <w:rPr>
          <w:rFonts w:hint="eastAsia" w:asciiTheme="minorEastAsia" w:hAnsiTheme="minorEastAsia" w:cstheme="minorEastAsia"/>
          <w:bCs/>
          <w:color w:val="auto"/>
          <w:sz w:val="28"/>
          <w:szCs w:val="28"/>
          <w:highlight w:val="none"/>
          <w:lang w:eastAsia="zh-CN"/>
        </w:rPr>
        <w:t>服务商</w:t>
      </w:r>
      <w:r>
        <w:rPr>
          <w:rFonts w:hint="eastAsia" w:asciiTheme="minorEastAsia" w:hAnsiTheme="minorEastAsia" w:cstheme="minorEastAsia"/>
          <w:bCs/>
          <w:color w:val="auto"/>
          <w:sz w:val="28"/>
          <w:szCs w:val="28"/>
          <w:highlight w:val="none"/>
        </w:rPr>
        <w:t>名称、合同包名称、报价、质量目标、安全目标、服务期、响应保证金递交情况及其他内容；</w:t>
      </w:r>
    </w:p>
    <w:p w14:paraId="682306B9">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（4）</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代表、采购人代表、记录人等有关人员在启封记录上签名确认；</w:t>
      </w:r>
    </w:p>
    <w:p w14:paraId="56D23417">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（5）启封</w:t>
      </w:r>
      <w:r>
        <w:rPr>
          <w:rFonts w:hint="eastAsia" w:asciiTheme="minorEastAsia" w:hAnsiTheme="minorEastAsia" w:cstheme="minorEastAsia"/>
          <w:color w:val="auto"/>
          <w:sz w:val="28"/>
          <w:szCs w:val="28"/>
          <w:highlight w:val="none"/>
        </w:rPr>
        <w:t>结束</w:t>
      </w:r>
      <w:r>
        <w:rPr>
          <w:rFonts w:hint="eastAsia" w:asciiTheme="minorEastAsia" w:hAnsiTheme="minorEastAsia" w:cstheme="minorEastAsia"/>
          <w:bCs/>
          <w:color w:val="auto"/>
          <w:sz w:val="28"/>
          <w:szCs w:val="28"/>
          <w:highlight w:val="none"/>
        </w:rPr>
        <w:t>。</w:t>
      </w:r>
    </w:p>
    <w:p w14:paraId="70370EE8">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5.2.2若采用合理低价法或综合评分法，在响应文件启封中，采购人将按第三章“评审办法”规定的原则计算并宣布评审基准价。若采购人发现响应文件出现以下任一情况，其报价将不再参加评审基准价的计算：</w:t>
      </w:r>
    </w:p>
    <w:p w14:paraId="7E8FABA4">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（1）报价超出采购人公布的最高限价；</w:t>
      </w:r>
    </w:p>
    <w:p w14:paraId="2726CB0A">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（2）未在报价函上填写总报价；</w:t>
      </w:r>
    </w:p>
    <w:p w14:paraId="4AB84374">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（3）报价函中的报价与已标价的报价清单总报价不一致（四舍五入除外）；</w:t>
      </w:r>
    </w:p>
    <w:p w14:paraId="3A0E3A95">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（4）未按要求提交响应保证金（如有）。</w:t>
      </w:r>
    </w:p>
    <w:p w14:paraId="74287B69">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Cs/>
          <w:color w:val="auto"/>
          <w:sz w:val="28"/>
          <w:szCs w:val="28"/>
          <w:highlight w:val="none"/>
        </w:rPr>
        <w:t>如果</w:t>
      </w:r>
      <w:r>
        <w:rPr>
          <w:rFonts w:hint="eastAsia" w:asciiTheme="minorEastAsia" w:hAnsiTheme="minorEastAsia" w:cstheme="minorEastAsia"/>
          <w:bCs/>
          <w:color w:val="auto"/>
          <w:sz w:val="28"/>
          <w:szCs w:val="28"/>
          <w:highlight w:val="none"/>
          <w:lang w:eastAsia="zh-CN"/>
        </w:rPr>
        <w:t>服务商</w:t>
      </w:r>
      <w:r>
        <w:rPr>
          <w:rFonts w:hint="eastAsia" w:asciiTheme="minorEastAsia" w:hAnsiTheme="minorEastAsia" w:cstheme="minorEastAsia"/>
          <w:bCs/>
          <w:color w:val="auto"/>
          <w:sz w:val="28"/>
          <w:szCs w:val="28"/>
          <w:highlight w:val="none"/>
        </w:rPr>
        <w:t>认为某一合同包的评审基准价计算有误，有权在启封过程中提出，经采购人在启封过程中核实确认之后，可重新宣布评审基准价。启封标过程中公布的评审基准价除计算有误，经评审小组修正外，在整个评审期间保持不变，不随任何因素发生变化。</w:t>
      </w:r>
    </w:p>
    <w:p w14:paraId="65A4EE39">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5.2.3</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在启封过程中有疑问的，应当在现场提出，采购人将当场作出答复。</w:t>
      </w:r>
    </w:p>
    <w:p w14:paraId="0060B930">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97" w:name="_Toc26656972"/>
      <w:bookmarkStart w:id="98" w:name="_Toc9067725"/>
      <w:bookmarkStart w:id="99" w:name="_Toc14201241"/>
      <w:r>
        <w:rPr>
          <w:rFonts w:hint="eastAsia" w:asciiTheme="minorEastAsia" w:hAnsiTheme="minorEastAsia" w:eastAsiaTheme="minorEastAsia" w:cstheme="minorEastAsia"/>
          <w:b/>
          <w:color w:val="auto"/>
          <w:sz w:val="28"/>
          <w:szCs w:val="28"/>
          <w:highlight w:val="none"/>
        </w:rPr>
        <w:t>6. 评</w:t>
      </w:r>
      <w:bookmarkEnd w:id="97"/>
      <w:bookmarkEnd w:id="98"/>
      <w:bookmarkEnd w:id="99"/>
      <w:r>
        <w:rPr>
          <w:rFonts w:hint="eastAsia" w:asciiTheme="minorEastAsia" w:hAnsiTheme="minorEastAsia" w:eastAsiaTheme="minorEastAsia" w:cstheme="minorEastAsia"/>
          <w:b/>
          <w:color w:val="auto"/>
          <w:sz w:val="28"/>
          <w:szCs w:val="28"/>
          <w:highlight w:val="none"/>
        </w:rPr>
        <w:t>审</w:t>
      </w:r>
    </w:p>
    <w:p w14:paraId="594E8D48">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100" w:name="_Toc26656973"/>
      <w:bookmarkStart w:id="101" w:name="_Toc14201242"/>
      <w:r>
        <w:rPr>
          <w:rFonts w:hint="eastAsia" w:asciiTheme="minorEastAsia" w:hAnsiTheme="minorEastAsia" w:cstheme="minorEastAsia"/>
          <w:b/>
          <w:color w:val="auto"/>
          <w:sz w:val="28"/>
          <w:szCs w:val="28"/>
          <w:highlight w:val="none"/>
        </w:rPr>
        <w:t>6.1</w:t>
      </w:r>
      <w:bookmarkEnd w:id="100"/>
      <w:bookmarkEnd w:id="101"/>
      <w:r>
        <w:rPr>
          <w:rFonts w:hint="eastAsia" w:asciiTheme="minorEastAsia" w:hAnsiTheme="minorEastAsia" w:cstheme="minorEastAsia"/>
          <w:b/>
          <w:color w:val="auto"/>
          <w:sz w:val="28"/>
          <w:szCs w:val="28"/>
          <w:highlight w:val="none"/>
        </w:rPr>
        <w:t>评审小组</w:t>
      </w:r>
    </w:p>
    <w:p w14:paraId="0D594FF8">
      <w:pPr>
        <w:spacing w:line="560" w:lineRule="exact"/>
        <w:ind w:firstLine="562" w:firstLineChars="200"/>
        <w:jc w:val="left"/>
        <w:rPr>
          <w:rFonts w:hint="default" w:asciiTheme="minorEastAsia" w:hAnsiTheme="minorEastAsia" w:eastAsiaTheme="minorEastAsia" w:cstheme="minorEastAsia"/>
          <w:b/>
          <w:bCs/>
          <w:color w:val="auto"/>
          <w:sz w:val="28"/>
          <w:szCs w:val="28"/>
          <w:highlight w:val="yellow"/>
          <w:lang w:val="en-US" w:eastAsia="zh-CN"/>
        </w:rPr>
      </w:pPr>
      <w:r>
        <w:rPr>
          <w:rFonts w:hint="eastAsia" w:asciiTheme="minorEastAsia" w:hAnsiTheme="minorEastAsia" w:cstheme="minorEastAsia"/>
          <w:b/>
          <w:bCs/>
          <w:color w:val="auto"/>
          <w:sz w:val="28"/>
          <w:szCs w:val="28"/>
          <w:highlight w:val="none"/>
        </w:rPr>
        <w:t>评审由安徽皖运保险代理有限公司评审小组负责</w:t>
      </w:r>
      <w:r>
        <w:rPr>
          <w:rFonts w:hint="eastAsia" w:asciiTheme="minorEastAsia" w:hAnsiTheme="minorEastAsia" w:cstheme="minorEastAsia"/>
          <w:b/>
          <w:bCs/>
          <w:color w:val="auto"/>
          <w:sz w:val="28"/>
          <w:szCs w:val="28"/>
          <w:highlight w:val="none"/>
          <w:lang w:eastAsia="zh-CN"/>
        </w:rPr>
        <w:t>，</w:t>
      </w:r>
      <w:r>
        <w:rPr>
          <w:rFonts w:hint="eastAsia" w:asciiTheme="minorEastAsia" w:hAnsiTheme="minorEastAsia" w:cstheme="minorEastAsia"/>
          <w:b/>
          <w:bCs/>
          <w:color w:val="auto"/>
          <w:sz w:val="28"/>
          <w:szCs w:val="28"/>
          <w:highlight w:val="none"/>
        </w:rPr>
        <w:t>评审</w:t>
      </w:r>
      <w:r>
        <w:rPr>
          <w:rFonts w:hint="eastAsia" w:asciiTheme="minorEastAsia" w:hAnsiTheme="minorEastAsia" w:cstheme="minorEastAsia"/>
          <w:b/>
          <w:bCs/>
          <w:color w:val="auto"/>
          <w:sz w:val="28"/>
          <w:szCs w:val="28"/>
          <w:highlight w:val="none"/>
          <w:lang w:eastAsia="zh-CN"/>
        </w:rPr>
        <w:t>成员</w:t>
      </w:r>
      <w:r>
        <w:rPr>
          <w:rFonts w:hint="eastAsia" w:asciiTheme="minorEastAsia" w:hAnsiTheme="minorEastAsia" w:cstheme="minorEastAsia"/>
          <w:b/>
          <w:bCs/>
          <w:color w:val="auto"/>
          <w:sz w:val="28"/>
          <w:szCs w:val="28"/>
          <w:highlight w:val="none"/>
        </w:rPr>
        <w:t>人数</w:t>
      </w:r>
      <w:r>
        <w:rPr>
          <w:rFonts w:hint="eastAsia" w:asciiTheme="minorEastAsia" w:hAnsiTheme="minorEastAsia" w:cstheme="minorEastAsia"/>
          <w:b/>
          <w:bCs/>
          <w:color w:val="auto"/>
          <w:sz w:val="28"/>
          <w:szCs w:val="28"/>
          <w:highlight w:val="none"/>
          <w:lang w:eastAsia="zh-CN"/>
        </w:rPr>
        <w:t>为</w:t>
      </w:r>
      <w:r>
        <w:rPr>
          <w:rFonts w:hint="eastAsia" w:asciiTheme="minorEastAsia" w:hAnsiTheme="minorEastAsia" w:cstheme="minorEastAsia"/>
          <w:b/>
          <w:bCs/>
          <w:color w:val="auto"/>
          <w:sz w:val="28"/>
          <w:szCs w:val="28"/>
          <w:highlight w:val="none"/>
        </w:rPr>
        <w:t>：</w:t>
      </w:r>
      <w:r>
        <w:rPr>
          <w:rFonts w:hint="eastAsia" w:asciiTheme="minorEastAsia" w:hAnsiTheme="minorEastAsia" w:cstheme="minorEastAsia"/>
          <w:b/>
          <w:bCs/>
          <w:color w:val="auto"/>
          <w:sz w:val="28"/>
          <w:szCs w:val="28"/>
          <w:highlight w:val="none"/>
          <w:lang w:val="en-US" w:eastAsia="zh-CN"/>
        </w:rPr>
        <w:t>5</w:t>
      </w:r>
      <w:r>
        <w:rPr>
          <w:rFonts w:hint="eastAsia" w:asciiTheme="minorEastAsia" w:hAnsiTheme="minorEastAsia" w:cstheme="minorEastAsia"/>
          <w:b/>
          <w:bCs/>
          <w:color w:val="auto"/>
          <w:sz w:val="28"/>
          <w:szCs w:val="28"/>
          <w:highlight w:val="none"/>
        </w:rPr>
        <w:t>人</w:t>
      </w:r>
      <w:r>
        <w:rPr>
          <w:rFonts w:hint="eastAsia" w:asciiTheme="minorEastAsia" w:hAnsiTheme="minorEastAsia" w:cstheme="minorEastAsia"/>
          <w:b/>
          <w:bCs/>
          <w:color w:val="auto"/>
          <w:sz w:val="28"/>
          <w:szCs w:val="28"/>
          <w:highlight w:val="none"/>
          <w:lang w:eastAsia="zh-CN"/>
        </w:rPr>
        <w:t>；另设监督人</w:t>
      </w:r>
      <w:r>
        <w:rPr>
          <w:rFonts w:hint="eastAsia" w:asciiTheme="minorEastAsia" w:hAnsiTheme="minorEastAsia" w:cstheme="minorEastAsia"/>
          <w:b/>
          <w:bCs/>
          <w:color w:val="auto"/>
          <w:sz w:val="28"/>
          <w:szCs w:val="28"/>
          <w:highlight w:val="none"/>
          <w:lang w:val="en-US" w:eastAsia="zh-CN"/>
        </w:rPr>
        <w:t>1名，全程对评审过程进行监督。</w:t>
      </w:r>
    </w:p>
    <w:p w14:paraId="7BD4C1FE">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102" w:name="_Toc26656975"/>
      <w:bookmarkStart w:id="103" w:name="_Toc14201244"/>
      <w:r>
        <w:rPr>
          <w:rFonts w:hint="eastAsia" w:asciiTheme="minorEastAsia" w:hAnsiTheme="minorEastAsia" w:cstheme="minorEastAsia"/>
          <w:b/>
          <w:color w:val="auto"/>
          <w:sz w:val="28"/>
          <w:szCs w:val="28"/>
          <w:highlight w:val="none"/>
        </w:rPr>
        <w:t>6.2评</w:t>
      </w:r>
      <w:bookmarkEnd w:id="102"/>
      <w:bookmarkEnd w:id="103"/>
      <w:r>
        <w:rPr>
          <w:rFonts w:hint="eastAsia" w:asciiTheme="minorEastAsia" w:hAnsiTheme="minorEastAsia" w:cstheme="minorEastAsia"/>
          <w:b/>
          <w:color w:val="auto"/>
          <w:sz w:val="28"/>
          <w:szCs w:val="28"/>
          <w:highlight w:val="none"/>
        </w:rPr>
        <w:t>审</w:t>
      </w:r>
    </w:p>
    <w:p w14:paraId="7D227265">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6.2.1评审小组按照第三章“评审办法”规定的方法、评审因素、标准和程序对响应文件进行评审。</w:t>
      </w:r>
    </w:p>
    <w:p w14:paraId="63806086">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6.2.2评审完成后，评审小组应向采购人提交书面评审报告和成交候选人名单。评审小组推荐成交候选人的人数为：3人（如不足3人，可以按实际数量推荐）。</w:t>
      </w:r>
    </w:p>
    <w:p w14:paraId="3A87585C">
      <w:pPr>
        <w:numPr>
          <w:ilvl w:val="0"/>
          <w:numId w:val="3"/>
        </w:num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104" w:name="_Toc26656976"/>
      <w:bookmarkStart w:id="105" w:name="_Toc9067726"/>
      <w:bookmarkStart w:id="106" w:name="_Toc14201245"/>
      <w:r>
        <w:rPr>
          <w:rFonts w:hint="eastAsia" w:asciiTheme="minorEastAsia" w:hAnsiTheme="minorEastAsia" w:eastAsiaTheme="minorEastAsia" w:cstheme="minorEastAsia"/>
          <w:b/>
          <w:color w:val="auto"/>
          <w:sz w:val="28"/>
          <w:szCs w:val="28"/>
          <w:highlight w:val="none"/>
        </w:rPr>
        <w:t>合同授予</w:t>
      </w:r>
      <w:bookmarkEnd w:id="104"/>
      <w:bookmarkEnd w:id="105"/>
      <w:bookmarkEnd w:id="106"/>
      <w:bookmarkStart w:id="107" w:name="_Toc26656977"/>
      <w:bookmarkStart w:id="108" w:name="_Toc14201246"/>
    </w:p>
    <w:p w14:paraId="32108C8B">
      <w:pPr>
        <w:spacing w:line="560" w:lineRule="exact"/>
        <w:ind w:firstLine="562" w:firstLineChars="200"/>
        <w:jc w:val="left"/>
        <w:outlineLvl w:val="1"/>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7.1成交候选人公示</w:t>
      </w:r>
      <w:bookmarkEnd w:id="107"/>
      <w:bookmarkEnd w:id="108"/>
      <w:r>
        <w:rPr>
          <w:rFonts w:hint="eastAsia" w:asciiTheme="minorEastAsia" w:hAnsiTheme="minorEastAsia" w:cstheme="minorEastAsia"/>
          <w:b/>
          <w:color w:val="auto"/>
          <w:sz w:val="28"/>
          <w:szCs w:val="28"/>
          <w:highlight w:val="none"/>
        </w:rPr>
        <w:t>：有。</w:t>
      </w:r>
    </w:p>
    <w:p w14:paraId="05F98A7B">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109" w:name="_Toc26656978"/>
      <w:bookmarkStart w:id="110" w:name="_Toc14201247"/>
      <w:r>
        <w:rPr>
          <w:rFonts w:hint="eastAsia" w:asciiTheme="minorEastAsia" w:hAnsiTheme="minorEastAsia" w:cstheme="minorEastAsia"/>
          <w:b/>
          <w:color w:val="auto"/>
          <w:sz w:val="28"/>
          <w:szCs w:val="28"/>
          <w:highlight w:val="none"/>
        </w:rPr>
        <w:t>7.2评审结果异议</w:t>
      </w:r>
      <w:bookmarkEnd w:id="109"/>
      <w:bookmarkEnd w:id="110"/>
    </w:p>
    <w:p w14:paraId="4513DC22">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或其他利害关系人对评审结果有异议的，收到评审通知当天提出。</w:t>
      </w:r>
    </w:p>
    <w:p w14:paraId="0D976BCD">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111" w:name="_Toc14201248"/>
      <w:bookmarkStart w:id="112" w:name="_Toc26656979"/>
      <w:r>
        <w:rPr>
          <w:rFonts w:hint="eastAsia" w:asciiTheme="minorEastAsia" w:hAnsiTheme="minorEastAsia" w:cstheme="minorEastAsia"/>
          <w:b/>
          <w:color w:val="auto"/>
          <w:sz w:val="28"/>
          <w:szCs w:val="28"/>
          <w:highlight w:val="none"/>
        </w:rPr>
        <w:t>7.3成交候选人履约能力审查</w:t>
      </w:r>
      <w:bookmarkEnd w:id="111"/>
      <w:bookmarkEnd w:id="112"/>
    </w:p>
    <w:p w14:paraId="072890A7">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成交候选人的经营、财务状况发生较大变化或存在违法行为，采购人认为可能影响其履约能力的，将在发出成交通知书前提请原评审小组按照询比文件规定的标准和方法进行审查确认。</w:t>
      </w:r>
    </w:p>
    <w:p w14:paraId="68C0560C">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113" w:name="_Toc26656984"/>
      <w:bookmarkStart w:id="114" w:name="_Toc14201253"/>
      <w:r>
        <w:rPr>
          <w:rFonts w:hint="eastAsia" w:asciiTheme="minorEastAsia" w:hAnsiTheme="minorEastAsia" w:cstheme="minorEastAsia"/>
          <w:b/>
          <w:color w:val="auto"/>
          <w:sz w:val="28"/>
          <w:szCs w:val="28"/>
          <w:highlight w:val="none"/>
        </w:rPr>
        <w:t>7.</w:t>
      </w:r>
      <w:r>
        <w:rPr>
          <w:rFonts w:hint="eastAsia" w:asciiTheme="minorEastAsia" w:hAnsiTheme="minorEastAsia" w:cstheme="minorEastAsia"/>
          <w:b/>
          <w:color w:val="auto"/>
          <w:sz w:val="28"/>
          <w:szCs w:val="28"/>
          <w:highlight w:val="none"/>
          <w:lang w:val="en-US" w:eastAsia="zh-CN"/>
        </w:rPr>
        <w:t>4</w:t>
      </w:r>
      <w:r>
        <w:rPr>
          <w:rFonts w:hint="eastAsia" w:asciiTheme="minorEastAsia" w:hAnsiTheme="minorEastAsia" w:cstheme="minorEastAsia"/>
          <w:b/>
          <w:color w:val="auto"/>
          <w:sz w:val="28"/>
          <w:szCs w:val="28"/>
          <w:highlight w:val="none"/>
        </w:rPr>
        <w:t>签订合同</w:t>
      </w:r>
      <w:bookmarkEnd w:id="113"/>
      <w:bookmarkEnd w:id="114"/>
    </w:p>
    <w:p w14:paraId="3AFB24DE">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采购人和成交人应在响应有效期内</w:t>
      </w:r>
      <w:r>
        <w:rPr>
          <w:rFonts w:hint="eastAsia" w:asciiTheme="minorEastAsia" w:hAnsiTheme="minorEastAsia" w:cstheme="minorEastAsia"/>
          <w:color w:val="auto"/>
          <w:sz w:val="28"/>
          <w:szCs w:val="28"/>
          <w:highlight w:val="none"/>
          <w:lang w:eastAsia="zh-CN"/>
        </w:rPr>
        <w:t>，且自成</w:t>
      </w:r>
      <w:r>
        <w:rPr>
          <w:rFonts w:hint="eastAsia" w:asciiTheme="minorEastAsia" w:hAnsiTheme="minorEastAsia" w:cstheme="minorEastAsia"/>
          <w:color w:val="auto"/>
          <w:sz w:val="28"/>
          <w:szCs w:val="28"/>
          <w:highlight w:val="none"/>
        </w:rPr>
        <w:t>交通知书发出之日起30日内，</w:t>
      </w:r>
      <w:r>
        <w:rPr>
          <w:rFonts w:hint="eastAsia" w:asciiTheme="minorEastAsia" w:hAnsiTheme="minorEastAsia" w:cstheme="minorEastAsia"/>
          <w:color w:val="auto"/>
          <w:sz w:val="28"/>
          <w:szCs w:val="28"/>
          <w:highlight w:val="none"/>
          <w:lang w:eastAsia="zh-CN"/>
        </w:rPr>
        <w:t>按照</w:t>
      </w:r>
      <w:r>
        <w:rPr>
          <w:rFonts w:hint="eastAsia" w:asciiTheme="minorEastAsia" w:hAnsiTheme="minorEastAsia" w:cstheme="minorEastAsia"/>
          <w:color w:val="auto"/>
          <w:sz w:val="28"/>
          <w:szCs w:val="28"/>
          <w:highlight w:val="none"/>
        </w:rPr>
        <w:t>询比文件和成交人的响应文件订立书面合同。成交人无正当理由拒签合同，在签订合同时向采购人提出附加条件</w:t>
      </w:r>
      <w:r>
        <w:rPr>
          <w:rFonts w:hint="eastAsia" w:asciiTheme="minorEastAsia" w:hAnsiTheme="minorEastAsia" w:cstheme="minorEastAsia"/>
          <w:color w:val="auto"/>
          <w:sz w:val="28"/>
          <w:szCs w:val="28"/>
          <w:highlight w:val="none"/>
          <w:lang w:eastAsia="zh-CN"/>
        </w:rPr>
        <w:t>的</w:t>
      </w:r>
      <w:r>
        <w:rPr>
          <w:rFonts w:hint="eastAsia" w:asciiTheme="minorEastAsia" w:hAnsiTheme="minorEastAsia" w:cstheme="minorEastAsia"/>
          <w:color w:val="auto"/>
          <w:sz w:val="28"/>
          <w:szCs w:val="28"/>
          <w:highlight w:val="none"/>
        </w:rPr>
        <w:t>，采购人</w:t>
      </w:r>
      <w:r>
        <w:rPr>
          <w:rFonts w:hint="eastAsia" w:asciiTheme="minorEastAsia" w:hAnsiTheme="minorEastAsia" w:cstheme="minorEastAsia"/>
          <w:color w:val="auto"/>
          <w:sz w:val="28"/>
          <w:szCs w:val="28"/>
          <w:highlight w:val="none"/>
          <w:lang w:eastAsia="zh-CN"/>
        </w:rPr>
        <w:t>有权</w:t>
      </w:r>
      <w:r>
        <w:rPr>
          <w:rFonts w:hint="eastAsia" w:asciiTheme="minorEastAsia" w:hAnsiTheme="minorEastAsia" w:cstheme="minorEastAsia"/>
          <w:color w:val="auto"/>
          <w:sz w:val="28"/>
          <w:szCs w:val="28"/>
          <w:highlight w:val="none"/>
        </w:rPr>
        <w:t>取消其成交资格</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cstheme="minorEastAsia"/>
          <w:color w:val="auto"/>
          <w:sz w:val="28"/>
          <w:szCs w:val="28"/>
          <w:highlight w:val="none"/>
        </w:rPr>
        <w:t>给采购人造成损失</w:t>
      </w:r>
      <w:r>
        <w:rPr>
          <w:rFonts w:hint="eastAsia" w:asciiTheme="minorEastAsia" w:hAnsiTheme="minorEastAsia" w:cstheme="minorEastAsia"/>
          <w:color w:val="auto"/>
          <w:sz w:val="28"/>
          <w:szCs w:val="28"/>
          <w:highlight w:val="none"/>
          <w:lang w:eastAsia="zh-CN"/>
        </w:rPr>
        <w:t>的</w:t>
      </w:r>
      <w:r>
        <w:rPr>
          <w:rFonts w:hint="eastAsia" w:asciiTheme="minorEastAsia" w:hAnsiTheme="minorEastAsia" w:cstheme="minorEastAsia"/>
          <w:color w:val="auto"/>
          <w:sz w:val="28"/>
          <w:szCs w:val="28"/>
          <w:highlight w:val="none"/>
        </w:rPr>
        <w:t>，成交人应</w:t>
      </w:r>
      <w:r>
        <w:rPr>
          <w:rFonts w:hint="eastAsia" w:asciiTheme="minorEastAsia" w:hAnsiTheme="minorEastAsia" w:cstheme="minorEastAsia"/>
          <w:color w:val="auto"/>
          <w:sz w:val="28"/>
          <w:szCs w:val="28"/>
          <w:highlight w:val="none"/>
          <w:lang w:eastAsia="zh-CN"/>
        </w:rPr>
        <w:t>依法承担相应赔偿责任</w:t>
      </w:r>
      <w:r>
        <w:rPr>
          <w:rFonts w:hint="eastAsia" w:asciiTheme="minorEastAsia" w:hAnsiTheme="minorEastAsia" w:cstheme="minorEastAsia"/>
          <w:color w:val="auto"/>
          <w:sz w:val="28"/>
          <w:szCs w:val="28"/>
          <w:highlight w:val="none"/>
        </w:rPr>
        <w:t>。</w:t>
      </w:r>
    </w:p>
    <w:p w14:paraId="0FA0EDA0">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115" w:name="_Toc26656988"/>
      <w:bookmarkStart w:id="116" w:name="_Toc9067727"/>
      <w:bookmarkStart w:id="117" w:name="_Toc14201257"/>
      <w:r>
        <w:rPr>
          <w:rFonts w:hint="eastAsia" w:asciiTheme="minorEastAsia" w:hAnsiTheme="minorEastAsia" w:eastAsiaTheme="minorEastAsia" w:cstheme="minorEastAsia"/>
          <w:b/>
          <w:color w:val="auto"/>
          <w:sz w:val="28"/>
          <w:szCs w:val="28"/>
          <w:highlight w:val="none"/>
        </w:rPr>
        <w:t>8. 纪律和监督</w:t>
      </w:r>
      <w:bookmarkEnd w:id="115"/>
      <w:bookmarkEnd w:id="116"/>
      <w:bookmarkEnd w:id="117"/>
    </w:p>
    <w:p w14:paraId="549F1372">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不得相互串通报价或与采购人串通报价，不得向采购人或评审小组成员行贿谋取成交，不得以他人名义报价或以其他方式弄虚作假骗取成交；</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不得以任何方式干扰、影响评审工作。</w:t>
      </w:r>
    </w:p>
    <w:p w14:paraId="751DD01D">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118" w:name="_Toc14201262"/>
      <w:bookmarkStart w:id="119" w:name="_Toc26656993"/>
      <w:r>
        <w:rPr>
          <w:rFonts w:hint="eastAsia" w:asciiTheme="minorEastAsia" w:hAnsiTheme="minorEastAsia" w:eastAsiaTheme="minorEastAsia" w:cstheme="minorEastAsia"/>
          <w:b/>
          <w:color w:val="auto"/>
          <w:sz w:val="28"/>
          <w:szCs w:val="28"/>
          <w:highlight w:val="none"/>
        </w:rPr>
        <w:t>9. 投诉</w:t>
      </w:r>
      <w:bookmarkEnd w:id="118"/>
      <w:bookmarkEnd w:id="119"/>
    </w:p>
    <w:p w14:paraId="1ECFED89">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9.1 </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或其他利害关系人认为询比活动不符合法律法规规定的，可以自知道或应当知道之日起10日内向有关监督部门投诉。投诉应有明确的请求和必要的证明材料。</w:t>
      </w:r>
    </w:p>
    <w:p w14:paraId="088D0F9F">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9.2 监督部门及联系方式：</w:t>
      </w:r>
    </w:p>
    <w:p w14:paraId="5ACBD107">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询比监督部门：皖运保险代理有限公司</w:t>
      </w:r>
      <w:r>
        <w:rPr>
          <w:rFonts w:hint="eastAsia" w:asciiTheme="minorEastAsia" w:hAnsiTheme="minorEastAsia" w:cstheme="minorEastAsia"/>
          <w:color w:val="auto"/>
          <w:sz w:val="28"/>
          <w:szCs w:val="28"/>
          <w:highlight w:val="none"/>
          <w:lang w:eastAsia="zh-CN"/>
        </w:rPr>
        <w:t>党支部</w:t>
      </w:r>
      <w:r>
        <w:rPr>
          <w:rFonts w:hint="eastAsia" w:asciiTheme="minorEastAsia" w:hAnsiTheme="minorEastAsia" w:cstheme="minorEastAsia"/>
          <w:color w:val="auto"/>
          <w:sz w:val="28"/>
          <w:szCs w:val="28"/>
          <w:highlight w:val="none"/>
        </w:rPr>
        <w:t>；</w:t>
      </w:r>
    </w:p>
    <w:p w14:paraId="15137F26">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联系电话：0551-64532838。</w:t>
      </w:r>
    </w:p>
    <w:p w14:paraId="1742CC56">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120" w:name="_Toc26656994"/>
      <w:bookmarkStart w:id="121" w:name="_Toc14201263"/>
      <w:bookmarkStart w:id="122" w:name="_Toc9067731"/>
      <w:r>
        <w:rPr>
          <w:rFonts w:hint="eastAsia" w:asciiTheme="minorEastAsia" w:hAnsiTheme="minorEastAsia" w:eastAsiaTheme="minorEastAsia" w:cstheme="minorEastAsia"/>
          <w:b/>
          <w:color w:val="auto"/>
          <w:sz w:val="28"/>
          <w:szCs w:val="28"/>
          <w:highlight w:val="none"/>
        </w:rPr>
        <w:t>10. 需要补充的其他内容</w:t>
      </w:r>
      <w:bookmarkEnd w:id="120"/>
      <w:bookmarkEnd w:id="121"/>
      <w:bookmarkEnd w:id="122"/>
    </w:p>
    <w:p w14:paraId="29510AEA">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无。</w:t>
      </w:r>
    </w:p>
    <w:p w14:paraId="3338254A">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br w:type="page"/>
      </w:r>
    </w:p>
    <w:p w14:paraId="36C0C48F">
      <w:pPr>
        <w:pStyle w:val="2"/>
        <w:keepNext w:val="0"/>
        <w:keepLines w:val="0"/>
        <w:numPr>
          <w:ilvl w:val="0"/>
          <w:numId w:val="0"/>
        </w:numPr>
        <w:spacing w:before="312" w:after="312"/>
        <w:rPr>
          <w:rFonts w:ascii="Times New Roman" w:hAnsi="Times New Roman" w:eastAsia="黑体" w:cs="Times New Roman"/>
          <w:b w:val="0"/>
          <w:bCs w:val="0"/>
          <w:color w:val="auto"/>
          <w:szCs w:val="36"/>
          <w:highlight w:val="none"/>
        </w:rPr>
      </w:pPr>
      <w:bookmarkStart w:id="123" w:name="_Toc25591"/>
      <w:bookmarkStart w:id="124" w:name="_Toc9903"/>
      <w:bookmarkStart w:id="125" w:name="_Toc4817"/>
      <w:bookmarkStart w:id="126" w:name="_Toc17323"/>
      <w:r>
        <w:rPr>
          <w:rFonts w:ascii="Times New Roman" w:hAnsi="Times New Roman" w:eastAsia="黑体" w:cs="Times New Roman"/>
          <w:b w:val="0"/>
          <w:bCs w:val="0"/>
          <w:color w:val="auto"/>
          <w:szCs w:val="36"/>
          <w:highlight w:val="none"/>
        </w:rPr>
        <w:t>第三章  评审办法</w:t>
      </w:r>
      <w:bookmarkEnd w:id="123"/>
      <w:bookmarkEnd w:id="124"/>
      <w:bookmarkEnd w:id="125"/>
      <w:bookmarkEnd w:id="126"/>
    </w:p>
    <w:p w14:paraId="07CE2EDE">
      <w:pPr>
        <w:spacing w:after="0" w:afterLines="0" w:line="420" w:lineRule="exact"/>
        <w:jc w:val="left"/>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评审办法前附表（最低价法）</w:t>
      </w:r>
    </w:p>
    <w:tbl>
      <w:tblPr>
        <w:tblStyle w:val="31"/>
        <w:tblW w:w="919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2DC5C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2EE15003">
            <w:pPr>
              <w:widowControl w:val="0"/>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条款号</w:t>
            </w:r>
          </w:p>
        </w:tc>
        <w:tc>
          <w:tcPr>
            <w:tcW w:w="1774" w:type="dxa"/>
            <w:vAlign w:val="center"/>
          </w:tcPr>
          <w:p w14:paraId="3C613469">
            <w:pPr>
              <w:widowControl w:val="0"/>
              <w:ind w:firstLine="105" w:firstLineChars="50"/>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评审因素</w:t>
            </w:r>
          </w:p>
        </w:tc>
        <w:tc>
          <w:tcPr>
            <w:tcW w:w="5676" w:type="dxa"/>
            <w:vAlign w:val="center"/>
          </w:tcPr>
          <w:p w14:paraId="68FD3B1C">
            <w:pPr>
              <w:widowControl w:val="0"/>
              <w:ind w:firstLine="105" w:firstLineChars="50"/>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评审标准</w:t>
            </w:r>
          </w:p>
        </w:tc>
      </w:tr>
      <w:tr w14:paraId="4BBCA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4ADE22C">
            <w:pPr>
              <w:widowControl w:val="0"/>
              <w:jc w:val="center"/>
              <w:rPr>
                <w:rFonts w:ascii="Times New Roman" w:hAnsi="Times New Roman" w:cs="Times New Roman"/>
                <w:bCs/>
                <w:color w:val="auto"/>
                <w:kern w:val="0"/>
                <w:szCs w:val="21"/>
                <w:highlight w:val="none"/>
              </w:rPr>
            </w:pPr>
            <w:r>
              <w:rPr>
                <w:rFonts w:ascii="Times New Roman" w:hAnsi="Times New Roman" w:cs="Times New Roman"/>
                <w:bCs/>
                <w:color w:val="auto"/>
                <w:kern w:val="0"/>
                <w:szCs w:val="21"/>
                <w:highlight w:val="none"/>
              </w:rPr>
              <w:t>1</w:t>
            </w:r>
          </w:p>
        </w:tc>
        <w:tc>
          <w:tcPr>
            <w:tcW w:w="1060" w:type="dxa"/>
            <w:vAlign w:val="center"/>
          </w:tcPr>
          <w:p w14:paraId="3326484E">
            <w:pPr>
              <w:widowControl w:val="0"/>
              <w:jc w:val="center"/>
              <w:rPr>
                <w:rFonts w:ascii="Times New Roman" w:hAnsi="Times New Roman" w:cs="Times New Roman"/>
                <w:bCs/>
                <w:color w:val="auto"/>
                <w:kern w:val="0"/>
                <w:szCs w:val="21"/>
                <w:highlight w:val="none"/>
              </w:rPr>
            </w:pPr>
            <w:r>
              <w:rPr>
                <w:rFonts w:ascii="Times New Roman" w:hAnsi="Times New Roman" w:cs="Times New Roman"/>
                <w:bCs/>
                <w:color w:val="auto"/>
                <w:kern w:val="0"/>
                <w:szCs w:val="21"/>
                <w:highlight w:val="none"/>
              </w:rPr>
              <w:t>评审方法</w:t>
            </w:r>
          </w:p>
        </w:tc>
        <w:tc>
          <w:tcPr>
            <w:tcW w:w="1774" w:type="dxa"/>
            <w:tcMar>
              <w:left w:w="75" w:type="dxa"/>
            </w:tcMar>
            <w:vAlign w:val="center"/>
          </w:tcPr>
          <w:p w14:paraId="5A7857F0">
            <w:pPr>
              <w:widowControl w:val="0"/>
              <w:adjustRightInd w:val="0"/>
              <w:snapToGrid w:val="0"/>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成交候选人</w:t>
            </w:r>
          </w:p>
          <w:p w14:paraId="57E48348">
            <w:pPr>
              <w:widowControl w:val="0"/>
              <w:adjustRightInd w:val="0"/>
              <w:snapToGrid w:val="0"/>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排序方法</w:t>
            </w:r>
          </w:p>
        </w:tc>
        <w:tc>
          <w:tcPr>
            <w:tcW w:w="5676" w:type="dxa"/>
            <w:tcMar>
              <w:left w:w="75" w:type="dxa"/>
            </w:tcMar>
            <w:vAlign w:val="center"/>
          </w:tcPr>
          <w:p w14:paraId="206FB720">
            <w:pPr>
              <w:widowControl w:val="0"/>
              <w:adjustRightInd w:val="0"/>
              <w:snapToGrid w:val="0"/>
              <w:jc w:val="left"/>
              <w:rPr>
                <w:rFonts w:ascii="Times New Roman" w:hAnsi="Times New Roman" w:cs="Times New Roman"/>
                <w:color w:val="auto"/>
                <w:highlight w:val="none"/>
              </w:rPr>
            </w:pPr>
            <w:r>
              <w:rPr>
                <w:rFonts w:ascii="Times New Roman" w:hAnsi="Times New Roman" w:cs="Times New Roman"/>
                <w:color w:val="auto"/>
                <w:highlight w:val="none"/>
              </w:rPr>
              <w:t>按费率下浮比例由高到低的顺序依次推荐成交候选人：</w:t>
            </w:r>
          </w:p>
          <w:p w14:paraId="5198060C">
            <w:pPr>
              <w:widowControl w:val="0"/>
              <w:adjustRightInd w:val="0"/>
              <w:snapToGrid w:val="0"/>
              <w:jc w:val="left"/>
              <w:rPr>
                <w:rFonts w:ascii="Times New Roman" w:hAnsi="Times New Roman" w:cs="Times New Roman"/>
                <w:color w:val="auto"/>
                <w:highlight w:val="none"/>
              </w:rPr>
            </w:pPr>
            <w:r>
              <w:rPr>
                <w:rFonts w:ascii="Times New Roman" w:hAnsi="Times New Roman" w:cs="Times New Roman"/>
                <w:color w:val="auto"/>
                <w:highlight w:val="none"/>
              </w:rPr>
              <w:t>☑评审价相等时，以递交响应文件在前的优先。</w:t>
            </w:r>
          </w:p>
          <w:p w14:paraId="61861865">
            <w:pPr>
              <w:pStyle w:val="14"/>
              <w:adjustRightInd w:val="0"/>
              <w:snapToGrid w:val="0"/>
              <w:rPr>
                <w:rFonts w:ascii="Times New Roman" w:hAnsi="Times New Roman" w:cs="Times New Roman"/>
                <w:color w:val="auto"/>
                <w:highlight w:val="none"/>
              </w:rPr>
            </w:pPr>
            <w:r>
              <w:rPr>
                <w:rFonts w:ascii="Times New Roman" w:hAnsi="Times New Roman" w:cs="Times New Roman"/>
                <w:color w:val="auto"/>
                <w:kern w:val="0"/>
                <w:szCs w:val="21"/>
                <w:highlight w:val="none"/>
              </w:rPr>
              <w:t>□___________________________</w:t>
            </w:r>
          </w:p>
        </w:tc>
      </w:tr>
    </w:tbl>
    <w:p w14:paraId="1045560E">
      <w:pPr>
        <w:adjustRightInd w:val="0"/>
        <w:snapToGrid w:val="0"/>
        <w:spacing w:line="360" w:lineRule="auto"/>
        <w:ind w:firstLine="420"/>
        <w:textAlignment w:val="baseline"/>
        <w:rPr>
          <w:rFonts w:ascii="Times New Roman" w:hAnsi="Times New Roman" w:cs="Times New Roman"/>
          <w:color w:val="auto"/>
          <w:szCs w:val="21"/>
          <w:highlight w:val="none"/>
        </w:rPr>
      </w:pPr>
    </w:p>
    <w:tbl>
      <w:tblPr>
        <w:tblStyle w:val="31"/>
        <w:tblW w:w="919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4"/>
        <w:gridCol w:w="1083"/>
        <w:gridCol w:w="1743"/>
        <w:gridCol w:w="5688"/>
      </w:tblGrid>
      <w:tr w14:paraId="058D0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767" w:type="dxa"/>
            <w:gridSpan w:val="2"/>
            <w:vAlign w:val="center"/>
          </w:tcPr>
          <w:p w14:paraId="7B7DF13C">
            <w:pPr>
              <w:widowControl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条款号</w:t>
            </w:r>
          </w:p>
        </w:tc>
        <w:tc>
          <w:tcPr>
            <w:tcW w:w="1743" w:type="dxa"/>
            <w:vAlign w:val="center"/>
          </w:tcPr>
          <w:p w14:paraId="4FBB6CED">
            <w:pPr>
              <w:widowControl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评审因素</w:t>
            </w:r>
          </w:p>
        </w:tc>
        <w:tc>
          <w:tcPr>
            <w:tcW w:w="5688" w:type="dxa"/>
            <w:vAlign w:val="center"/>
          </w:tcPr>
          <w:p w14:paraId="1D6BA724">
            <w:pPr>
              <w:widowControl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评审标准</w:t>
            </w:r>
          </w:p>
        </w:tc>
      </w:tr>
      <w:tr w14:paraId="2851C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restart"/>
            <w:vAlign w:val="center"/>
          </w:tcPr>
          <w:p w14:paraId="7F5DB001">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2.1.1</w:t>
            </w:r>
          </w:p>
        </w:tc>
        <w:tc>
          <w:tcPr>
            <w:tcW w:w="1083" w:type="dxa"/>
            <w:vMerge w:val="restart"/>
            <w:vAlign w:val="center"/>
          </w:tcPr>
          <w:p w14:paraId="57088FFB">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形式</w:t>
            </w:r>
          </w:p>
          <w:p w14:paraId="22B1C865">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评审标准</w:t>
            </w:r>
          </w:p>
        </w:tc>
        <w:tc>
          <w:tcPr>
            <w:tcW w:w="1743" w:type="dxa"/>
            <w:tcMar>
              <w:left w:w="75" w:type="dxa"/>
            </w:tcMar>
            <w:vAlign w:val="center"/>
          </w:tcPr>
          <w:p w14:paraId="50EEF36E">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eastAsia="zh-CN"/>
              </w:rPr>
              <w:t>服务商</w:t>
            </w:r>
            <w:r>
              <w:rPr>
                <w:rFonts w:ascii="Times New Roman" w:hAnsi="Times New Roman" w:cs="Times New Roman"/>
                <w:color w:val="auto"/>
                <w:kern w:val="0"/>
                <w:szCs w:val="21"/>
                <w:highlight w:val="none"/>
              </w:rPr>
              <w:t>名称</w:t>
            </w:r>
          </w:p>
        </w:tc>
        <w:tc>
          <w:tcPr>
            <w:tcW w:w="5688" w:type="dxa"/>
            <w:tcMar>
              <w:left w:w="75" w:type="dxa"/>
            </w:tcMar>
            <w:vAlign w:val="center"/>
          </w:tcPr>
          <w:p w14:paraId="2FD29C96">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与营业执照、资质证书（如有）一致</w:t>
            </w:r>
          </w:p>
        </w:tc>
      </w:tr>
      <w:tr w14:paraId="589E9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1232D61C">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6DE2E20F">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18A8514C">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响应文件格式</w:t>
            </w:r>
          </w:p>
        </w:tc>
        <w:tc>
          <w:tcPr>
            <w:tcW w:w="5688" w:type="dxa"/>
            <w:tcMar>
              <w:left w:w="75" w:type="dxa"/>
            </w:tcMar>
            <w:vAlign w:val="center"/>
          </w:tcPr>
          <w:p w14:paraId="1625EE0B">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符合第六章“响应文件格式”的规定，关键字迹清晰可辨</w:t>
            </w:r>
          </w:p>
        </w:tc>
      </w:tr>
      <w:tr w14:paraId="0EA63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286D21EE">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62D14673">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3B72F76D">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签名盖章</w:t>
            </w:r>
          </w:p>
        </w:tc>
        <w:tc>
          <w:tcPr>
            <w:tcW w:w="5688" w:type="dxa"/>
            <w:tcMar>
              <w:left w:w="75" w:type="dxa"/>
            </w:tcMar>
            <w:vAlign w:val="center"/>
          </w:tcPr>
          <w:p w14:paraId="61ED62B0">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bCs/>
                <w:color w:val="auto"/>
                <w:kern w:val="0"/>
                <w:szCs w:val="21"/>
                <w:highlight w:val="none"/>
              </w:rPr>
              <w:t>符合第二章“</w:t>
            </w:r>
            <w:r>
              <w:rPr>
                <w:rFonts w:hint="eastAsia" w:ascii="Times New Roman" w:hAnsi="Times New Roman" w:cs="Times New Roman"/>
                <w:bCs/>
                <w:color w:val="auto"/>
                <w:kern w:val="0"/>
                <w:szCs w:val="21"/>
                <w:highlight w:val="none"/>
                <w:lang w:eastAsia="zh-CN"/>
              </w:rPr>
              <w:t>服务商</w:t>
            </w:r>
            <w:r>
              <w:rPr>
                <w:rFonts w:ascii="Times New Roman" w:hAnsi="Times New Roman" w:cs="Times New Roman"/>
                <w:bCs/>
                <w:color w:val="auto"/>
                <w:kern w:val="0"/>
                <w:szCs w:val="21"/>
                <w:highlight w:val="none"/>
              </w:rPr>
              <w:t>须知”第3.6.3项的规定</w:t>
            </w:r>
          </w:p>
        </w:tc>
      </w:tr>
      <w:tr w14:paraId="50BD9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5" w:hRule="atLeast"/>
        </w:trPr>
        <w:tc>
          <w:tcPr>
            <w:tcW w:w="684" w:type="dxa"/>
            <w:vAlign w:val="center"/>
          </w:tcPr>
          <w:p w14:paraId="2C434E91">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2.1.2</w:t>
            </w:r>
          </w:p>
        </w:tc>
        <w:tc>
          <w:tcPr>
            <w:tcW w:w="1083" w:type="dxa"/>
            <w:vAlign w:val="center"/>
          </w:tcPr>
          <w:p w14:paraId="4120A98F">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资格</w:t>
            </w:r>
          </w:p>
          <w:p w14:paraId="362BBF2A">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评审标准</w:t>
            </w:r>
          </w:p>
        </w:tc>
        <w:tc>
          <w:tcPr>
            <w:tcW w:w="1743" w:type="dxa"/>
            <w:tcMar>
              <w:left w:w="75" w:type="dxa"/>
            </w:tcMar>
            <w:vAlign w:val="center"/>
          </w:tcPr>
          <w:p w14:paraId="3463AEC2">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资质条件、能力、信誉</w:t>
            </w:r>
          </w:p>
        </w:tc>
        <w:tc>
          <w:tcPr>
            <w:tcW w:w="5688" w:type="dxa"/>
            <w:tcMar>
              <w:left w:w="75" w:type="dxa"/>
            </w:tcMar>
            <w:vAlign w:val="center"/>
          </w:tcPr>
          <w:p w14:paraId="1A4DA649">
            <w:pPr>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符合第二章“</w:t>
            </w:r>
            <w:r>
              <w:rPr>
                <w:rFonts w:hint="eastAsia" w:ascii="Times New Roman" w:hAnsi="Times New Roman" w:cs="Times New Roman"/>
                <w:color w:val="auto"/>
                <w:kern w:val="0"/>
                <w:szCs w:val="21"/>
                <w:highlight w:val="none"/>
                <w:lang w:eastAsia="zh-CN"/>
              </w:rPr>
              <w:t>服务商</w:t>
            </w:r>
            <w:r>
              <w:rPr>
                <w:rFonts w:ascii="Times New Roman" w:hAnsi="Times New Roman" w:cs="Times New Roman"/>
                <w:color w:val="auto"/>
                <w:kern w:val="0"/>
                <w:szCs w:val="21"/>
                <w:highlight w:val="none"/>
              </w:rPr>
              <w:t>须知”第1.2.1项规定</w:t>
            </w:r>
          </w:p>
        </w:tc>
      </w:tr>
      <w:tr w14:paraId="0FBFE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restart"/>
            <w:vAlign w:val="center"/>
          </w:tcPr>
          <w:p w14:paraId="2BF82961">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2.1.3</w:t>
            </w:r>
          </w:p>
        </w:tc>
        <w:tc>
          <w:tcPr>
            <w:tcW w:w="1083" w:type="dxa"/>
            <w:vMerge w:val="restart"/>
            <w:vAlign w:val="center"/>
          </w:tcPr>
          <w:p w14:paraId="745DF704">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响应性</w:t>
            </w:r>
          </w:p>
          <w:p w14:paraId="0380B374">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评审标准</w:t>
            </w:r>
          </w:p>
        </w:tc>
        <w:tc>
          <w:tcPr>
            <w:tcW w:w="1743" w:type="dxa"/>
            <w:tcMar>
              <w:left w:w="75" w:type="dxa"/>
            </w:tcMar>
            <w:vAlign w:val="center"/>
          </w:tcPr>
          <w:p w14:paraId="5BF0D736">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报价内容</w:t>
            </w:r>
          </w:p>
        </w:tc>
        <w:tc>
          <w:tcPr>
            <w:tcW w:w="5688" w:type="dxa"/>
            <w:tcMar>
              <w:left w:w="75" w:type="dxa"/>
            </w:tcMar>
            <w:vAlign w:val="center"/>
          </w:tcPr>
          <w:p w14:paraId="6973F47D">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highlight w:val="none"/>
              </w:rPr>
              <w:t>符合第一章“</w:t>
            </w:r>
            <w:r>
              <w:rPr>
                <w:rFonts w:ascii="Times New Roman" w:hAnsi="Times New Roman" w:cs="Times New Roman"/>
                <w:color w:val="auto"/>
                <w:szCs w:val="21"/>
                <w:highlight w:val="none"/>
              </w:rPr>
              <w:t>采购邀请书</w:t>
            </w:r>
            <w:r>
              <w:rPr>
                <w:rFonts w:ascii="Times New Roman" w:hAnsi="Times New Roman" w:cs="Times New Roman"/>
                <w:color w:val="auto"/>
                <w:highlight w:val="none"/>
              </w:rPr>
              <w:t>”规定</w:t>
            </w:r>
          </w:p>
        </w:tc>
      </w:tr>
      <w:tr w14:paraId="49900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111CD83D">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2456D5FA">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0B025123">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服务期</w:t>
            </w:r>
          </w:p>
        </w:tc>
        <w:tc>
          <w:tcPr>
            <w:tcW w:w="5688" w:type="dxa"/>
            <w:tcMar>
              <w:left w:w="75" w:type="dxa"/>
            </w:tcMar>
            <w:vAlign w:val="center"/>
          </w:tcPr>
          <w:p w14:paraId="1060B164">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highlight w:val="none"/>
              </w:rPr>
              <w:t>符合第一章“</w:t>
            </w:r>
            <w:r>
              <w:rPr>
                <w:rFonts w:ascii="Times New Roman" w:hAnsi="Times New Roman" w:cs="Times New Roman"/>
                <w:color w:val="auto"/>
                <w:szCs w:val="21"/>
                <w:highlight w:val="none"/>
              </w:rPr>
              <w:t>采购邀请书</w:t>
            </w:r>
            <w:r>
              <w:rPr>
                <w:rFonts w:ascii="Times New Roman" w:hAnsi="Times New Roman" w:cs="Times New Roman"/>
                <w:color w:val="auto"/>
                <w:highlight w:val="none"/>
              </w:rPr>
              <w:t>”规定</w:t>
            </w:r>
          </w:p>
        </w:tc>
      </w:tr>
      <w:tr w14:paraId="63FE0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6B7B384C">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313E07E4">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183539E8">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质量要求</w:t>
            </w:r>
          </w:p>
        </w:tc>
        <w:tc>
          <w:tcPr>
            <w:tcW w:w="5688" w:type="dxa"/>
            <w:tcMar>
              <w:left w:w="75" w:type="dxa"/>
            </w:tcMar>
            <w:vAlign w:val="center"/>
          </w:tcPr>
          <w:p w14:paraId="37714E5B">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符合第二章“</w:t>
            </w:r>
            <w:r>
              <w:rPr>
                <w:rFonts w:hint="eastAsia" w:ascii="Times New Roman" w:hAnsi="Times New Roman" w:cs="Times New Roman"/>
                <w:color w:val="auto"/>
                <w:kern w:val="0"/>
                <w:szCs w:val="21"/>
                <w:highlight w:val="none"/>
                <w:lang w:eastAsia="zh-CN"/>
              </w:rPr>
              <w:t>服务商</w:t>
            </w:r>
            <w:r>
              <w:rPr>
                <w:rFonts w:ascii="Times New Roman" w:hAnsi="Times New Roman" w:cs="Times New Roman"/>
                <w:color w:val="auto"/>
                <w:kern w:val="0"/>
                <w:szCs w:val="21"/>
                <w:highlight w:val="none"/>
              </w:rPr>
              <w:t>须知”第1.1.1项规定</w:t>
            </w:r>
          </w:p>
        </w:tc>
      </w:tr>
      <w:tr w14:paraId="621DF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3ED176B3">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6BE4A117">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23211543">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安全目标</w:t>
            </w:r>
          </w:p>
        </w:tc>
        <w:tc>
          <w:tcPr>
            <w:tcW w:w="5688" w:type="dxa"/>
            <w:tcMar>
              <w:left w:w="75" w:type="dxa"/>
            </w:tcMar>
            <w:vAlign w:val="center"/>
          </w:tcPr>
          <w:p w14:paraId="4310E6E3">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符合第二章“</w:t>
            </w:r>
            <w:r>
              <w:rPr>
                <w:rFonts w:hint="eastAsia" w:ascii="Times New Roman" w:hAnsi="Times New Roman" w:cs="Times New Roman"/>
                <w:color w:val="auto"/>
                <w:kern w:val="0"/>
                <w:szCs w:val="21"/>
                <w:highlight w:val="none"/>
                <w:lang w:eastAsia="zh-CN"/>
              </w:rPr>
              <w:t>服务商</w:t>
            </w:r>
            <w:r>
              <w:rPr>
                <w:rFonts w:ascii="Times New Roman" w:hAnsi="Times New Roman" w:cs="Times New Roman"/>
                <w:color w:val="auto"/>
                <w:kern w:val="0"/>
                <w:szCs w:val="21"/>
                <w:highlight w:val="none"/>
              </w:rPr>
              <w:t>须知”第1.1.2项规定</w:t>
            </w:r>
          </w:p>
        </w:tc>
      </w:tr>
      <w:tr w14:paraId="49349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457B6377">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775B2D8A">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209CCBEF">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响应有效期</w:t>
            </w:r>
          </w:p>
        </w:tc>
        <w:tc>
          <w:tcPr>
            <w:tcW w:w="5688" w:type="dxa"/>
            <w:tcMar>
              <w:left w:w="75" w:type="dxa"/>
            </w:tcMar>
            <w:vAlign w:val="center"/>
          </w:tcPr>
          <w:p w14:paraId="04CCE247">
            <w:pPr>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符合第二章“</w:t>
            </w:r>
            <w:r>
              <w:rPr>
                <w:rFonts w:hint="eastAsia" w:ascii="Times New Roman" w:hAnsi="Times New Roman" w:cs="Times New Roman"/>
                <w:color w:val="auto"/>
                <w:kern w:val="0"/>
                <w:szCs w:val="21"/>
                <w:highlight w:val="none"/>
                <w:lang w:eastAsia="zh-CN"/>
              </w:rPr>
              <w:t>服务商</w:t>
            </w:r>
            <w:r>
              <w:rPr>
                <w:rFonts w:ascii="Times New Roman" w:hAnsi="Times New Roman" w:cs="Times New Roman"/>
                <w:color w:val="auto"/>
                <w:kern w:val="0"/>
                <w:szCs w:val="21"/>
                <w:highlight w:val="none"/>
              </w:rPr>
              <w:t>须知”第3.3.1项规定</w:t>
            </w:r>
          </w:p>
        </w:tc>
      </w:tr>
      <w:tr w14:paraId="2223C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15D457FD">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5FB03923">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1FA09AB7">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响应保证金</w:t>
            </w:r>
          </w:p>
        </w:tc>
        <w:tc>
          <w:tcPr>
            <w:tcW w:w="5688" w:type="dxa"/>
            <w:tcMar>
              <w:left w:w="75" w:type="dxa"/>
            </w:tcMar>
            <w:vAlign w:val="center"/>
          </w:tcPr>
          <w:p w14:paraId="24C9781D">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符合第二章“</w:t>
            </w:r>
            <w:r>
              <w:rPr>
                <w:rFonts w:hint="eastAsia" w:ascii="Times New Roman" w:hAnsi="Times New Roman" w:cs="Times New Roman"/>
                <w:color w:val="auto"/>
                <w:kern w:val="0"/>
                <w:szCs w:val="21"/>
                <w:highlight w:val="none"/>
                <w:lang w:eastAsia="zh-CN"/>
              </w:rPr>
              <w:t>服务商</w:t>
            </w:r>
            <w:r>
              <w:rPr>
                <w:rFonts w:ascii="Times New Roman" w:hAnsi="Times New Roman" w:cs="Times New Roman"/>
                <w:color w:val="auto"/>
                <w:kern w:val="0"/>
                <w:szCs w:val="21"/>
                <w:highlight w:val="none"/>
              </w:rPr>
              <w:t>须知”第3.4项规定</w:t>
            </w:r>
          </w:p>
        </w:tc>
      </w:tr>
      <w:tr w14:paraId="3E399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3D0F00B5">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67D59A5A">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29CE94B3">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权利义务</w:t>
            </w:r>
          </w:p>
        </w:tc>
        <w:tc>
          <w:tcPr>
            <w:tcW w:w="5688" w:type="dxa"/>
            <w:tcMar>
              <w:left w:w="75" w:type="dxa"/>
            </w:tcMar>
            <w:vAlign w:val="center"/>
          </w:tcPr>
          <w:p w14:paraId="44A1F257">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bCs/>
                <w:color w:val="auto"/>
                <w:kern w:val="0"/>
                <w:szCs w:val="21"/>
                <w:highlight w:val="none"/>
              </w:rPr>
              <w:t>符合询比文件规定</w:t>
            </w:r>
          </w:p>
        </w:tc>
      </w:tr>
      <w:tr w14:paraId="3E97E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207C54FD">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6D526EF1">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5E955F6F">
            <w:pPr>
              <w:widowControl w:val="0"/>
              <w:adjustRightInd w:val="0"/>
              <w:snapToGrid w:val="0"/>
              <w:spacing w:line="360" w:lineRule="atLeast"/>
              <w:jc w:val="center"/>
              <w:rPr>
                <w:rFonts w:ascii="Times New Roman" w:hAnsi="Times New Roman" w:cs="Times New Roman"/>
                <w:bCs/>
                <w:color w:val="auto"/>
                <w:kern w:val="0"/>
                <w:szCs w:val="21"/>
                <w:highlight w:val="none"/>
              </w:rPr>
            </w:pPr>
            <w:r>
              <w:rPr>
                <w:rFonts w:ascii="Times New Roman" w:hAnsi="Times New Roman" w:cs="Times New Roman"/>
                <w:bCs/>
                <w:color w:val="auto"/>
                <w:kern w:val="0"/>
                <w:szCs w:val="21"/>
                <w:highlight w:val="none"/>
              </w:rPr>
              <w:t>询比文件的获取</w:t>
            </w:r>
          </w:p>
        </w:tc>
        <w:tc>
          <w:tcPr>
            <w:tcW w:w="5688" w:type="dxa"/>
            <w:tcMar>
              <w:left w:w="75" w:type="dxa"/>
            </w:tcMar>
            <w:vAlign w:val="center"/>
          </w:tcPr>
          <w:p w14:paraId="5BE1C843">
            <w:pPr>
              <w:widowControl w:val="0"/>
              <w:adjustRightInd w:val="0"/>
              <w:snapToGrid w:val="0"/>
              <w:spacing w:line="360" w:lineRule="atLeast"/>
              <w:jc w:val="left"/>
              <w:rPr>
                <w:rFonts w:ascii="Times New Roman" w:hAnsi="Times New Roman" w:cs="Times New Roman"/>
                <w:bCs/>
                <w:color w:val="auto"/>
                <w:kern w:val="0"/>
                <w:szCs w:val="21"/>
                <w:highlight w:val="none"/>
              </w:rPr>
            </w:pPr>
            <w:r>
              <w:rPr>
                <w:rFonts w:ascii="Times New Roman" w:hAnsi="Times New Roman" w:cs="Times New Roman"/>
                <w:bCs/>
                <w:color w:val="auto"/>
                <w:kern w:val="0"/>
                <w:szCs w:val="21"/>
                <w:highlight w:val="none"/>
              </w:rPr>
              <w:t>符合</w:t>
            </w:r>
            <w:r>
              <w:rPr>
                <w:rFonts w:ascii="Times New Roman" w:hAnsi="Times New Roman" w:cs="Times New Roman"/>
                <w:color w:val="auto"/>
                <w:highlight w:val="none"/>
              </w:rPr>
              <w:t>第一章“</w:t>
            </w:r>
            <w:r>
              <w:rPr>
                <w:rFonts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ascii="Times New Roman" w:hAnsi="Times New Roman" w:cs="Times New Roman"/>
                <w:bCs/>
                <w:color w:val="auto"/>
                <w:kern w:val="0"/>
                <w:szCs w:val="21"/>
                <w:highlight w:val="none"/>
              </w:rPr>
              <w:t>规定</w:t>
            </w:r>
          </w:p>
        </w:tc>
      </w:tr>
      <w:tr w14:paraId="46E22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3C412B47">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1EFDDE4A">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Borders>
              <w:top w:val="single" w:color="auto" w:sz="4" w:space="0"/>
              <w:left w:val="single" w:color="auto" w:sz="4" w:space="0"/>
              <w:right w:val="single" w:color="auto" w:sz="4" w:space="0"/>
            </w:tcBorders>
            <w:tcMar>
              <w:left w:w="75" w:type="dxa"/>
            </w:tcMar>
            <w:vAlign w:val="center"/>
          </w:tcPr>
          <w:p w14:paraId="64A19CC9">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bCs/>
                <w:color w:val="auto"/>
                <w:kern w:val="0"/>
                <w:szCs w:val="21"/>
                <w:highlight w:val="none"/>
              </w:rPr>
              <w:t>分包</w:t>
            </w:r>
          </w:p>
        </w:tc>
        <w:tc>
          <w:tcPr>
            <w:tcW w:w="5688" w:type="dxa"/>
            <w:tcBorders>
              <w:top w:val="outset" w:color="auto" w:sz="6" w:space="0"/>
              <w:left w:val="single" w:color="auto" w:sz="4" w:space="0"/>
            </w:tcBorders>
            <w:tcMar>
              <w:left w:w="75" w:type="dxa"/>
            </w:tcMar>
            <w:vAlign w:val="center"/>
          </w:tcPr>
          <w:p w14:paraId="33FDCECC">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没有分包</w:t>
            </w:r>
          </w:p>
        </w:tc>
      </w:tr>
    </w:tbl>
    <w:p w14:paraId="641CC217">
      <w:pPr>
        <w:widowControl w:val="0"/>
        <w:adjustRightInd w:val="0"/>
        <w:snapToGrid w:val="0"/>
        <w:spacing w:line="360" w:lineRule="atLeast"/>
        <w:jc w:val="center"/>
        <w:rPr>
          <w:rFonts w:ascii="Times New Roman" w:hAnsi="Times New Roman" w:cs="Times New Roman"/>
          <w:color w:val="auto"/>
          <w:kern w:val="0"/>
          <w:szCs w:val="21"/>
          <w:highlight w:val="none"/>
        </w:rPr>
        <w:sectPr>
          <w:footerReference r:id="rId5" w:type="default"/>
          <w:pgSz w:w="11906" w:h="16838"/>
          <w:pgMar w:top="1417" w:right="1134" w:bottom="1134" w:left="113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tbl>
      <w:tblPr>
        <w:tblStyle w:val="31"/>
        <w:tblW w:w="91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659"/>
      </w:tblGrid>
      <w:tr w14:paraId="45911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0E2AC5D9">
            <w:pPr>
              <w:pStyle w:val="14"/>
              <w:rPr>
                <w:rFonts w:ascii="Times New Roman" w:hAnsi="Times New Roman" w:cs="Times New Roman"/>
                <w:color w:val="auto"/>
                <w:highlight w:val="none"/>
              </w:rPr>
            </w:pPr>
          </w:p>
        </w:tc>
        <w:tc>
          <w:tcPr>
            <w:tcW w:w="1096" w:type="dxa"/>
            <w:vMerge w:val="restart"/>
            <w:vAlign w:val="center"/>
          </w:tcPr>
          <w:p w14:paraId="6F46B4DC">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59" w:type="dxa"/>
            <w:tcBorders>
              <w:left w:val="single" w:color="auto" w:sz="4" w:space="0"/>
              <w:right w:val="single" w:color="auto" w:sz="4" w:space="0"/>
            </w:tcBorders>
            <w:tcMar>
              <w:left w:w="75" w:type="dxa"/>
            </w:tcMar>
            <w:vAlign w:val="center"/>
          </w:tcPr>
          <w:p w14:paraId="1700588B">
            <w:pPr>
              <w:widowControl w:val="0"/>
              <w:adjustRightInd w:val="0"/>
              <w:snapToGrid w:val="0"/>
              <w:spacing w:line="360" w:lineRule="atLeast"/>
              <w:jc w:val="center"/>
              <w:rPr>
                <w:rFonts w:ascii="Times New Roman" w:hAnsi="Times New Roman" w:cs="Times New Roman"/>
                <w:bCs/>
                <w:color w:val="auto"/>
                <w:kern w:val="0"/>
                <w:szCs w:val="21"/>
                <w:highlight w:val="none"/>
              </w:rPr>
            </w:pPr>
            <w:r>
              <w:rPr>
                <w:rFonts w:ascii="Times New Roman" w:hAnsi="Times New Roman" w:cs="Times New Roman"/>
                <w:color w:val="auto"/>
                <w:kern w:val="0"/>
                <w:szCs w:val="21"/>
                <w:highlight w:val="none"/>
              </w:rPr>
              <w:t>报价</w:t>
            </w:r>
          </w:p>
        </w:tc>
        <w:tc>
          <w:tcPr>
            <w:tcW w:w="5659" w:type="dxa"/>
            <w:tcBorders>
              <w:left w:val="single" w:color="auto" w:sz="4" w:space="0"/>
            </w:tcBorders>
            <w:tcMar>
              <w:left w:w="75" w:type="dxa"/>
            </w:tcMar>
            <w:vAlign w:val="center"/>
          </w:tcPr>
          <w:p w14:paraId="02B6DB82">
            <w:pPr>
              <w:widowControl w:val="0"/>
              <w:adjustRightInd w:val="0"/>
              <w:snapToGrid w:val="0"/>
              <w:spacing w:line="360" w:lineRule="atLeast"/>
              <w:jc w:val="left"/>
              <w:rPr>
                <w:rFonts w:ascii="Times New Roman" w:hAnsi="Times New Roman" w:cs="Times New Roman"/>
                <w:color w:val="auto"/>
                <w:highlight w:val="none"/>
              </w:rPr>
            </w:pPr>
            <w:r>
              <w:rPr>
                <w:rFonts w:ascii="Times New Roman" w:hAnsi="Times New Roman" w:cs="Times New Roman"/>
                <w:color w:val="auto"/>
                <w:highlight w:val="none"/>
              </w:rPr>
              <w:t>（1）报价未超过询比文件设定的最高限价。</w:t>
            </w:r>
          </w:p>
          <w:p w14:paraId="33C71252">
            <w:pPr>
              <w:widowControl w:val="0"/>
              <w:adjustRightInd w:val="0"/>
              <w:snapToGrid w:val="0"/>
              <w:spacing w:line="360" w:lineRule="atLeast"/>
              <w:jc w:val="left"/>
              <w:rPr>
                <w:rFonts w:ascii="Times New Roman" w:hAnsi="Times New Roman" w:cs="Times New Roman"/>
                <w:color w:val="auto"/>
                <w:highlight w:val="none"/>
              </w:rPr>
            </w:pPr>
            <w:r>
              <w:rPr>
                <w:rFonts w:ascii="Times New Roman" w:hAnsi="Times New Roman" w:cs="Times New Roman"/>
                <w:color w:val="auto"/>
                <w:highlight w:val="none"/>
              </w:rPr>
              <w:t>（2）已标价的报价清单总报价和报价函的报价一致（四舍五入除外）。</w:t>
            </w:r>
          </w:p>
          <w:p w14:paraId="57BA08B5">
            <w:pPr>
              <w:widowControl w:val="0"/>
              <w:adjustRightInd w:val="0"/>
              <w:snapToGrid w:val="0"/>
              <w:spacing w:line="360" w:lineRule="atLeast"/>
              <w:jc w:val="left"/>
              <w:rPr>
                <w:rFonts w:ascii="Times New Roman" w:hAnsi="Times New Roman" w:cs="Times New Roman"/>
                <w:color w:val="auto"/>
                <w:highlight w:val="none"/>
              </w:rPr>
            </w:pPr>
            <w:r>
              <w:rPr>
                <w:rFonts w:ascii="Times New Roman" w:hAnsi="Times New Roman" w:cs="Times New Roman"/>
                <w:color w:val="auto"/>
                <w:highlight w:val="none"/>
              </w:rPr>
              <w:t>（3）报价的大写数值能确定具体数值，未出现数量级错误、报价金额单位错误。</w:t>
            </w:r>
          </w:p>
          <w:p w14:paraId="2B339086">
            <w:pPr>
              <w:widowControl w:val="0"/>
              <w:adjustRightInd w:val="0"/>
              <w:snapToGrid w:val="0"/>
              <w:spacing w:line="360" w:lineRule="atLeast"/>
              <w:jc w:val="left"/>
              <w:rPr>
                <w:rFonts w:ascii="Times New Roman" w:hAnsi="Times New Roman" w:cs="Times New Roman"/>
                <w:color w:val="auto"/>
                <w:highlight w:val="none"/>
              </w:rPr>
            </w:pPr>
            <w:r>
              <w:rPr>
                <w:rFonts w:ascii="Times New Roman" w:hAnsi="Times New Roman" w:cs="Times New Roman"/>
                <w:color w:val="auto"/>
                <w:highlight w:val="none"/>
              </w:rPr>
              <w:t>（4）同一</w:t>
            </w:r>
            <w:r>
              <w:rPr>
                <w:rFonts w:hint="eastAsia" w:ascii="Times New Roman" w:hAnsi="Times New Roman" w:cs="Times New Roman"/>
                <w:color w:val="auto"/>
                <w:highlight w:val="none"/>
                <w:lang w:eastAsia="zh-CN"/>
              </w:rPr>
              <w:t>服务商</w:t>
            </w:r>
            <w:r>
              <w:rPr>
                <w:rFonts w:ascii="Times New Roman" w:hAnsi="Times New Roman" w:cs="Times New Roman"/>
                <w:color w:val="auto"/>
                <w:highlight w:val="none"/>
              </w:rPr>
              <w:t>递交两个以上不同的报价。</w:t>
            </w:r>
          </w:p>
          <w:p w14:paraId="1B8FF743">
            <w:pPr>
              <w:widowControl w:val="0"/>
              <w:adjustRightInd w:val="0"/>
              <w:snapToGrid w:val="0"/>
              <w:spacing w:line="360" w:lineRule="atLeast"/>
              <w:jc w:val="left"/>
              <w:rPr>
                <w:rFonts w:ascii="Times New Roman" w:hAnsi="Times New Roman" w:cs="Times New Roman"/>
                <w:color w:val="auto"/>
                <w:highlight w:val="none"/>
              </w:rPr>
            </w:pPr>
            <w:r>
              <w:rPr>
                <w:rFonts w:ascii="Times New Roman" w:hAnsi="Times New Roman" w:cs="Times New Roman"/>
                <w:color w:val="auto"/>
                <w:highlight w:val="none"/>
              </w:rPr>
              <w:t>（5）</w:t>
            </w:r>
            <w:r>
              <w:rPr>
                <w:rFonts w:hint="eastAsia" w:ascii="Times New Roman" w:hAnsi="Times New Roman" w:cs="Times New Roman"/>
                <w:color w:val="auto"/>
                <w:highlight w:val="none"/>
                <w:lang w:eastAsia="zh-CN"/>
              </w:rPr>
              <w:t>服务商</w:t>
            </w:r>
            <w:r>
              <w:rPr>
                <w:rFonts w:ascii="Times New Roman" w:hAnsi="Times New Roman" w:cs="Times New Roman"/>
                <w:color w:val="auto"/>
                <w:highlight w:val="none"/>
              </w:rPr>
              <w:t>按采购人提供的书面报价清单填写了报价，且未修改报价清单说明、数量等实质性内容。</w:t>
            </w:r>
          </w:p>
          <w:p w14:paraId="56A001D4">
            <w:pPr>
              <w:widowControl w:val="0"/>
              <w:adjustRightInd w:val="0"/>
              <w:snapToGrid w:val="0"/>
              <w:spacing w:line="360" w:lineRule="atLeast"/>
              <w:jc w:val="left"/>
              <w:rPr>
                <w:rFonts w:ascii="Times New Roman" w:hAnsi="Times New Roman" w:cs="Times New Roman"/>
                <w:color w:val="auto"/>
                <w:highlight w:val="none"/>
              </w:rPr>
            </w:pPr>
            <w:r>
              <w:rPr>
                <w:rFonts w:ascii="Times New Roman" w:hAnsi="Times New Roman" w:cs="Times New Roman"/>
                <w:color w:val="auto"/>
                <w:highlight w:val="none"/>
              </w:rPr>
              <w:t>（6）已标价</w:t>
            </w:r>
            <w:r>
              <w:rPr>
                <w:rFonts w:ascii="Times New Roman" w:hAnsi="Times New Roman" w:cs="Times New Roman"/>
                <w:color w:val="auto"/>
                <w:kern w:val="0"/>
                <w:szCs w:val="21"/>
                <w:highlight w:val="none"/>
              </w:rPr>
              <w:t>报价清单中未更改询比文件确定的暂列金额。</w:t>
            </w:r>
          </w:p>
        </w:tc>
      </w:tr>
      <w:tr w14:paraId="35DED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560B3B">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96" w:type="dxa"/>
            <w:vMerge w:val="continue"/>
            <w:vAlign w:val="center"/>
          </w:tcPr>
          <w:p w14:paraId="6EF0AEC3">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59" w:type="dxa"/>
            <w:tcMar>
              <w:left w:w="75" w:type="dxa"/>
            </w:tcMar>
            <w:vAlign w:val="center"/>
          </w:tcPr>
          <w:p w14:paraId="528B46C5">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其他实质性要求</w:t>
            </w:r>
          </w:p>
        </w:tc>
        <w:tc>
          <w:tcPr>
            <w:tcW w:w="5659" w:type="dxa"/>
            <w:tcMar>
              <w:left w:w="75" w:type="dxa"/>
            </w:tcMar>
            <w:vAlign w:val="center"/>
          </w:tcPr>
          <w:p w14:paraId="25D786A7">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符合询比文件的其他实质性要求和条件</w:t>
            </w:r>
          </w:p>
        </w:tc>
      </w:tr>
    </w:tbl>
    <w:p w14:paraId="779FE3D8">
      <w:pPr>
        <w:jc w:val="right"/>
        <w:rPr>
          <w:rFonts w:ascii="Times New Roman" w:hAnsi="Times New Roman" w:cs="Times New Roman"/>
          <w:color w:val="auto"/>
          <w:highlight w:val="none"/>
        </w:rPr>
      </w:pPr>
    </w:p>
    <w:tbl>
      <w:tblPr>
        <w:tblStyle w:val="31"/>
        <w:tblW w:w="923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07"/>
        <w:gridCol w:w="1080"/>
        <w:gridCol w:w="1770"/>
        <w:gridCol w:w="5677"/>
      </w:tblGrid>
      <w:tr w14:paraId="02A5FE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787" w:type="dxa"/>
            <w:gridSpan w:val="2"/>
            <w:tcBorders>
              <w:bottom w:val="single" w:color="auto" w:sz="4" w:space="0"/>
              <w:right w:val="single" w:color="auto" w:sz="4" w:space="0"/>
            </w:tcBorders>
            <w:vAlign w:val="center"/>
          </w:tcPr>
          <w:p w14:paraId="611727DF">
            <w:pPr>
              <w:spacing w:line="360" w:lineRule="atLeast"/>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条款号</w:t>
            </w:r>
          </w:p>
        </w:tc>
        <w:tc>
          <w:tcPr>
            <w:tcW w:w="1770" w:type="dxa"/>
            <w:tcBorders>
              <w:left w:val="single" w:color="auto" w:sz="4" w:space="0"/>
              <w:bottom w:val="single" w:color="auto" w:sz="4" w:space="0"/>
              <w:right w:val="single" w:color="auto" w:sz="4" w:space="0"/>
            </w:tcBorders>
            <w:vAlign w:val="center"/>
          </w:tcPr>
          <w:p w14:paraId="4BB73530">
            <w:pPr>
              <w:spacing w:line="360" w:lineRule="atLeast"/>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量化因素</w:t>
            </w:r>
          </w:p>
        </w:tc>
        <w:tc>
          <w:tcPr>
            <w:tcW w:w="5677" w:type="dxa"/>
            <w:tcBorders>
              <w:left w:val="single" w:color="auto" w:sz="4" w:space="0"/>
              <w:bottom w:val="single" w:color="auto" w:sz="4" w:space="0"/>
            </w:tcBorders>
            <w:vAlign w:val="center"/>
          </w:tcPr>
          <w:p w14:paraId="58764310">
            <w:pPr>
              <w:spacing w:line="360" w:lineRule="atLeast"/>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量化标准</w:t>
            </w:r>
          </w:p>
        </w:tc>
      </w:tr>
      <w:tr w14:paraId="15C244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707" w:type="dxa"/>
            <w:tcBorders>
              <w:top w:val="single" w:color="auto" w:sz="4" w:space="0"/>
              <w:bottom w:val="single" w:color="auto" w:sz="4" w:space="0"/>
              <w:right w:val="single" w:color="auto" w:sz="4" w:space="0"/>
            </w:tcBorders>
            <w:vAlign w:val="center"/>
          </w:tcPr>
          <w:p w14:paraId="4FA11270">
            <w:pPr>
              <w:jc w:val="center"/>
              <w:rPr>
                <w:rFonts w:ascii="Times New Roman" w:hAnsi="Times New Roman" w:cs="Times New Roman"/>
                <w:b/>
                <w:color w:val="auto"/>
                <w:szCs w:val="21"/>
                <w:highlight w:val="none"/>
              </w:rPr>
            </w:pPr>
            <w:r>
              <w:rPr>
                <w:rFonts w:ascii="Times New Roman" w:hAnsi="Times New Roman" w:cs="Times New Roman"/>
                <w:color w:val="auto"/>
                <w:szCs w:val="21"/>
                <w:highlight w:val="none"/>
              </w:rPr>
              <w:t>2.2</w:t>
            </w:r>
          </w:p>
        </w:tc>
        <w:tc>
          <w:tcPr>
            <w:tcW w:w="1080" w:type="dxa"/>
            <w:tcBorders>
              <w:top w:val="single" w:color="auto" w:sz="4" w:space="0"/>
              <w:bottom w:val="single" w:color="auto" w:sz="4" w:space="0"/>
              <w:right w:val="single" w:color="auto" w:sz="4" w:space="0"/>
            </w:tcBorders>
            <w:vAlign w:val="center"/>
          </w:tcPr>
          <w:p w14:paraId="21E9BEC7">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详细评审标准</w:t>
            </w:r>
          </w:p>
        </w:tc>
        <w:tc>
          <w:tcPr>
            <w:tcW w:w="1770" w:type="dxa"/>
            <w:tcBorders>
              <w:top w:val="single" w:color="auto" w:sz="4" w:space="0"/>
              <w:left w:val="single" w:color="auto" w:sz="4" w:space="0"/>
              <w:bottom w:val="single" w:color="auto" w:sz="4" w:space="0"/>
              <w:right w:val="single" w:color="auto" w:sz="4" w:space="0"/>
            </w:tcBorders>
            <w:vAlign w:val="center"/>
          </w:tcPr>
          <w:p w14:paraId="3F025B22">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评审价计算</w:t>
            </w:r>
          </w:p>
        </w:tc>
        <w:tc>
          <w:tcPr>
            <w:tcW w:w="5677" w:type="dxa"/>
            <w:tcBorders>
              <w:top w:val="single" w:color="auto" w:sz="4" w:space="0"/>
              <w:left w:val="single" w:color="auto" w:sz="4" w:space="0"/>
              <w:bottom w:val="single" w:color="auto" w:sz="4" w:space="0"/>
            </w:tcBorders>
            <w:vAlign w:val="center"/>
          </w:tcPr>
          <w:p w14:paraId="2557932C">
            <w:pPr>
              <w:jc w:val="center"/>
              <w:rPr>
                <w:rFonts w:ascii="Times New Roman" w:hAnsi="Times New Roman" w:eastAsia="仿宋_GB2312" w:cs="Times New Roman"/>
                <w:color w:val="auto"/>
                <w:sz w:val="32"/>
                <w:szCs w:val="32"/>
                <w:highlight w:val="none"/>
              </w:rPr>
            </w:pPr>
            <w:r>
              <w:rPr>
                <w:rFonts w:ascii="Times New Roman" w:hAnsi="Times New Roman" w:cs="Times New Roman"/>
                <w:color w:val="auto"/>
                <w:kern w:val="0"/>
                <w:szCs w:val="21"/>
                <w:highlight w:val="none"/>
              </w:rPr>
              <w:t>评审价＝报价函文字报价</w:t>
            </w:r>
            <w:r>
              <w:rPr>
                <w:rFonts w:ascii="Times New Roman" w:hAnsi="Times New Roman" w:cs="Times New Roman"/>
                <w:color w:val="auto"/>
                <w:szCs w:val="21"/>
                <w:highlight w:val="none"/>
              </w:rPr>
              <w:t>（大小写不一致时以大写为准）</w:t>
            </w:r>
          </w:p>
        </w:tc>
      </w:tr>
      <w:tr w14:paraId="1CDB2B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9234" w:type="dxa"/>
            <w:gridSpan w:val="4"/>
            <w:tcBorders>
              <w:top w:val="single" w:color="auto" w:sz="4" w:space="0"/>
            </w:tcBorders>
            <w:vAlign w:val="center"/>
          </w:tcPr>
          <w:p w14:paraId="06A02BDF">
            <w:pPr>
              <w:spacing w:line="360" w:lineRule="atLeast"/>
              <w:rPr>
                <w:rFonts w:ascii="Times New Roman" w:hAnsi="Times New Roman" w:cs="Times New Roman"/>
                <w:color w:val="auto"/>
                <w:szCs w:val="21"/>
                <w:highlight w:val="none"/>
              </w:rPr>
            </w:pPr>
            <w:r>
              <w:rPr>
                <w:rFonts w:ascii="Times New Roman" w:hAnsi="Times New Roman" w:cs="Times New Roman"/>
                <w:color w:val="auto"/>
                <w:szCs w:val="21"/>
                <w:highlight w:val="none"/>
              </w:rPr>
              <w:t>需要补充的其他内容：</w:t>
            </w:r>
          </w:p>
          <w:p w14:paraId="7D13DD8F">
            <w:pPr>
              <w:spacing w:line="360" w:lineRule="atLeast"/>
              <w:rPr>
                <w:rFonts w:ascii="Times New Roman" w:hAnsi="Times New Roman" w:cs="Times New Roman"/>
                <w:color w:val="auto"/>
                <w:szCs w:val="21"/>
                <w:highlight w:val="none"/>
              </w:rPr>
            </w:pPr>
            <w:r>
              <w:rPr>
                <w:rFonts w:ascii="Times New Roman" w:hAnsi="Times New Roman" w:cs="Times New Roman"/>
                <w:color w:val="auto"/>
                <w:szCs w:val="21"/>
                <w:highlight w:val="none"/>
              </w:rPr>
              <w:t>……</w:t>
            </w:r>
          </w:p>
        </w:tc>
      </w:tr>
    </w:tbl>
    <w:p w14:paraId="318DF5C2">
      <w:pPr>
        <w:keepNext w:val="0"/>
        <w:keepLines w:val="0"/>
        <w:spacing w:beforeLines="0" w:afterLines="0" w:line="560" w:lineRule="exact"/>
        <w:ind w:firstLine="562" w:firstLineChars="200"/>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1. 评审方法</w:t>
      </w:r>
    </w:p>
    <w:p w14:paraId="0F67F285">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本次评审采用经评审的最低价法。评审小组对满足询比文件实质性要求的响应文件，按照评审价由低到高的顺序依次推荐成交候选人。如报价相同的，按照评审办法前附表中的规定确定成交候选人顺序。</w:t>
      </w:r>
    </w:p>
    <w:p w14:paraId="1E93CC6C">
      <w:pPr>
        <w:keepNext w:val="0"/>
        <w:keepLines w:val="0"/>
        <w:spacing w:beforeLines="0" w:afterLines="0" w:line="560" w:lineRule="exact"/>
        <w:ind w:firstLine="562" w:firstLineChars="200"/>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2. 评审标准</w:t>
      </w:r>
    </w:p>
    <w:p w14:paraId="03366504">
      <w:pPr>
        <w:keepNext w:val="0"/>
        <w:keepLines w:val="0"/>
        <w:spacing w:beforeLines="0" w:afterLines="0"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2.1 初步评审标准</w:t>
      </w:r>
    </w:p>
    <w:p w14:paraId="07DB0A74">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2.1.1 形式评审标准：见评审办法前附表。</w:t>
      </w:r>
    </w:p>
    <w:p w14:paraId="74B3D067">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2.1.2 资格评审标准：见评审办法前附表。</w:t>
      </w:r>
    </w:p>
    <w:p w14:paraId="5299BBDC">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2.1.3 响应性评审标准：见评审办法前附表。</w:t>
      </w:r>
    </w:p>
    <w:p w14:paraId="0D3E7372">
      <w:pPr>
        <w:keepNext w:val="0"/>
        <w:keepLines w:val="0"/>
        <w:spacing w:beforeLines="0" w:afterLines="0"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2.2 详细评审标准</w:t>
      </w:r>
    </w:p>
    <w:p w14:paraId="5E88702F">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详细评审标准：见评审办法前附表。</w:t>
      </w:r>
    </w:p>
    <w:p w14:paraId="12723165">
      <w:pPr>
        <w:keepNext w:val="0"/>
        <w:keepLines w:val="0"/>
        <w:spacing w:beforeLines="0" w:afterLines="0" w:line="560" w:lineRule="exact"/>
        <w:ind w:firstLine="562" w:firstLineChars="200"/>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3. 评审程序</w:t>
      </w:r>
    </w:p>
    <w:p w14:paraId="3314E51B">
      <w:pPr>
        <w:keepNext w:val="0"/>
        <w:keepLines w:val="0"/>
        <w:spacing w:beforeLines="0" w:afterLines="0"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3.1 初步评审</w:t>
      </w:r>
    </w:p>
    <w:p w14:paraId="4CC9736E">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3.1.1评审小组依据本章第2.1.1项、第2.1.2项、第2.1.3项规定的标准对响应文件进行评审。有一项不符合评审标准的，评审小组应否决其响应文件。</w:t>
      </w:r>
    </w:p>
    <w:p w14:paraId="7718504B">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3.1.2 响应文件中填报的报价、服务期、质量标准、安全目标前后不一致时，按细微偏差处理，并以报价函填报的为准。</w:t>
      </w:r>
    </w:p>
    <w:p w14:paraId="38C68049">
      <w:pPr>
        <w:keepNext w:val="0"/>
        <w:keepLines w:val="0"/>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Cs/>
          <w:color w:val="auto"/>
          <w:sz w:val="28"/>
          <w:szCs w:val="28"/>
          <w:highlight w:val="none"/>
        </w:rPr>
        <w:t>3.2 详细评审</w:t>
      </w:r>
    </w:p>
    <w:p w14:paraId="29117359">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评审小组按本章第2.2款规定进行评审价排序。</w:t>
      </w:r>
    </w:p>
    <w:p w14:paraId="62D22972">
      <w:pPr>
        <w:keepNext w:val="0"/>
        <w:keepLines w:val="0"/>
        <w:spacing w:beforeLines="0" w:afterLines="0"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3.3 否决响应文件的其他情形</w:t>
      </w:r>
    </w:p>
    <w:p w14:paraId="735D0564">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评审小组应对在评审过程中发现</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存在串通报价、弄虚作假、行贿等违法行为的，评审小组应否决其响应文件。</w:t>
      </w:r>
    </w:p>
    <w:p w14:paraId="4C10A5B1">
      <w:pPr>
        <w:keepNext w:val="0"/>
        <w:keepLines w:val="0"/>
        <w:spacing w:beforeLines="0" w:afterLines="0"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3.4 响应文件的澄清和说明或补正</w:t>
      </w:r>
    </w:p>
    <w:p w14:paraId="4BC8A412">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3.4.1 在评审过程中，评审小组可以书面形式要求</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对响应文件中含义不明确、对同类问题表述不一致或者有明显文字错误的内容做必要的澄清。评审小组不接受</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主动提出的澄清。</w:t>
      </w:r>
    </w:p>
    <w:p w14:paraId="7034903E">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3.4.2 澄清不得超出响应文件的范围且不得改变响应文件的实质性内容，并构成响应文件的组成部分。</w:t>
      </w:r>
    </w:p>
    <w:p w14:paraId="60EDC720">
      <w:pPr>
        <w:keepNext w:val="0"/>
        <w:keepLines w:val="0"/>
        <w:spacing w:beforeLines="0" w:afterLines="0"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3.5 评审结果</w:t>
      </w:r>
    </w:p>
    <w:p w14:paraId="03C0644A">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评审小组完成评审后，应当向采购人提交评审报告。评审报告应当如实记载以下内容：</w:t>
      </w:r>
    </w:p>
    <w:p w14:paraId="4B107C30">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3.5.1 采购项目基本情况</w:t>
      </w:r>
    </w:p>
    <w:p w14:paraId="7C42C1F6">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3.5.2 采购过程回顾</w:t>
      </w:r>
    </w:p>
    <w:p w14:paraId="148E1190">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3.5.3 评审小组成员名单</w:t>
      </w:r>
    </w:p>
    <w:p w14:paraId="3F426613">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3.5.4 询比评审工作</w:t>
      </w:r>
    </w:p>
    <w:p w14:paraId="64D7CE48">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（1）评审办法</w:t>
      </w:r>
    </w:p>
    <w:p w14:paraId="60B2D8AE">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（2）初步评审情况（资格审查、形式性审查、响应性审查）</w:t>
      </w:r>
    </w:p>
    <w:p w14:paraId="7CCA6578">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（3）详细评审情况（</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的评审价评审情况）</w:t>
      </w:r>
    </w:p>
    <w:p w14:paraId="0E221F45">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（4）否决的</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名单以及否决理由（如有）</w:t>
      </w:r>
    </w:p>
    <w:p w14:paraId="22F28B58">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（5）推荐候选</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排序</w:t>
      </w:r>
    </w:p>
    <w:p w14:paraId="08ADB8F5">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3.5.5 需要说明的其他事项</w:t>
      </w:r>
    </w:p>
    <w:p w14:paraId="52180562">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3.5.6 评审附表</w:t>
      </w:r>
    </w:p>
    <w:p w14:paraId="446848FF">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（1）响应文件开启记录表</w:t>
      </w:r>
    </w:p>
    <w:p w14:paraId="465CE868">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（2）评审表格</w:t>
      </w:r>
    </w:p>
    <w:p w14:paraId="23296296">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bookmarkStart w:id="127" w:name="_Toc17392"/>
    </w:p>
    <w:p w14:paraId="0F60044A">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3505F20B">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5C23592F">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7D19D472">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32F402E9">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586EEABD">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19477BCB">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7B328AC2">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48130DFD">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7FD77D87">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12D9BFF7">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27BE9404">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2692DAFD">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47F3C950">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37E2986E">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39B47978">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4A7A361D">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70C5B3CD">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52B0AB96">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7D4D43C6">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4CD8FFFB">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7FC7EAF8">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5A8C43A7">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7840943D">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246AC4D0">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1589CC74">
      <w:pPr>
        <w:rPr>
          <w:rFonts w:ascii="Times New Roman" w:hAnsi="Times New Roman" w:eastAsia="黑体" w:cs="Times New Roman"/>
          <w:color w:val="auto"/>
          <w:highlight w:val="none"/>
        </w:rPr>
      </w:pPr>
    </w:p>
    <w:p w14:paraId="71840980">
      <w:pPr>
        <w:pStyle w:val="14"/>
        <w:rPr>
          <w:color w:val="auto"/>
          <w:highlight w:val="none"/>
        </w:rPr>
      </w:pPr>
    </w:p>
    <w:p w14:paraId="55922784">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6BD88443">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4E976BE6">
      <w:pPr>
        <w:pStyle w:val="2"/>
        <w:keepNext w:val="0"/>
        <w:keepLines w:val="0"/>
        <w:numPr>
          <w:ilvl w:val="0"/>
          <w:numId w:val="0"/>
        </w:numPr>
        <w:adjustRightInd/>
        <w:snapToGrid/>
        <w:spacing w:before="312" w:beforeLines="-2147483648" w:after="312" w:afterLines="-2147483648" w:line="240" w:lineRule="auto"/>
        <w:ind w:firstLine="0"/>
        <w:rPr>
          <w:rFonts w:ascii="Times New Roman" w:hAnsi="Times New Roman" w:eastAsia="黑体" w:cs="Times New Roman"/>
          <w:b w:val="0"/>
          <w:bCs w:val="0"/>
          <w:color w:val="auto"/>
          <w:szCs w:val="36"/>
          <w:highlight w:val="none"/>
        </w:rPr>
      </w:pPr>
      <w:r>
        <w:rPr>
          <w:rFonts w:ascii="Times New Roman" w:hAnsi="Times New Roman" w:eastAsia="黑体" w:cs="Times New Roman"/>
          <w:b w:val="0"/>
          <w:bCs w:val="0"/>
          <w:color w:val="auto"/>
          <w:szCs w:val="36"/>
          <w:highlight w:val="none"/>
        </w:rPr>
        <w:t>第四章 合同内容及条款</w:t>
      </w:r>
      <w:bookmarkEnd w:id="127"/>
    </w:p>
    <w:p w14:paraId="269AB8AF">
      <w:pPr>
        <w:widowControl w:val="0"/>
        <w:adjustRightInd w:val="0"/>
        <w:snapToGrid w:val="0"/>
        <w:jc w:val="center"/>
        <w:rPr>
          <w:rFonts w:ascii="Times New Roman" w:hAnsi="Times New Roman" w:cs="Times New Roman"/>
          <w:color w:val="auto"/>
          <w:highlight w:val="none"/>
        </w:rPr>
      </w:pPr>
      <w:bookmarkStart w:id="128" w:name="_Toc16698_WPSOffice_Level2"/>
      <w:bookmarkStart w:id="129" w:name="_Toc12005"/>
      <w:bookmarkStart w:id="130" w:name="_Toc447808679"/>
      <w:r>
        <w:rPr>
          <w:rFonts w:ascii="Times New Roman" w:hAnsi="Times New Roman" w:eastAsia="宋体" w:cs="Times New Roman"/>
          <w:b/>
          <w:bCs/>
          <w:color w:val="auto"/>
          <w:kern w:val="0"/>
          <w:sz w:val="32"/>
          <w:szCs w:val="32"/>
          <w:highlight w:val="none"/>
          <w:lang w:bidi="ar"/>
        </w:rPr>
        <w:t>服务框架协议</w:t>
      </w:r>
    </w:p>
    <w:p w14:paraId="5F35C496">
      <w:pPr>
        <w:spacing w:line="520" w:lineRule="exact"/>
        <w:ind w:firstLine="0" w:firstLineChars="0"/>
        <w:rPr>
          <w:rFonts w:ascii="Times New Roman" w:hAnsi="Times New Roman" w:cs="Times New Roman"/>
          <w:color w:val="auto"/>
          <w:sz w:val="28"/>
          <w:szCs w:val="28"/>
          <w:highlight w:val="none"/>
        </w:rPr>
      </w:pPr>
      <w:r>
        <w:rPr>
          <w:rFonts w:ascii="Times New Roman" w:hAnsi="Times New Roman" w:cs="Times New Roman"/>
          <w:b/>
          <w:bCs/>
          <w:color w:val="auto"/>
          <w:sz w:val="28"/>
          <w:szCs w:val="28"/>
          <w:highlight w:val="none"/>
        </w:rPr>
        <w:t>甲方（全称）：</w:t>
      </w:r>
      <w:r>
        <w:rPr>
          <w:rFonts w:ascii="Times New Roman" w:hAnsi="Times New Roman" w:cs="Times New Roman"/>
          <w:color w:val="auto"/>
          <w:sz w:val="28"/>
          <w:szCs w:val="28"/>
          <w:highlight w:val="none"/>
        </w:rPr>
        <w:t xml:space="preserve">安徽交控工程集团有限公司 </w:t>
      </w:r>
    </w:p>
    <w:p w14:paraId="2B9FF6C8">
      <w:pPr>
        <w:spacing w:line="520" w:lineRule="exact"/>
        <w:ind w:firstLine="0" w:firstLineChars="0"/>
        <w:rPr>
          <w:rFonts w:ascii="Times New Roman" w:hAnsi="Times New Roman" w:cs="Times New Roman"/>
          <w:color w:val="auto"/>
          <w:sz w:val="28"/>
          <w:szCs w:val="28"/>
          <w:highlight w:val="none"/>
        </w:rPr>
      </w:pPr>
      <w:r>
        <w:rPr>
          <w:rFonts w:ascii="Times New Roman" w:hAnsi="Times New Roman" w:cs="Times New Roman"/>
          <w:b/>
          <w:bCs/>
          <w:color w:val="auto"/>
          <w:sz w:val="28"/>
          <w:szCs w:val="28"/>
          <w:highlight w:val="none"/>
        </w:rPr>
        <w:t>乙方（全称）：</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w:t>
      </w:r>
    </w:p>
    <w:p w14:paraId="48783B00">
      <w:pPr>
        <w:keepNext w:val="0"/>
        <w:spacing w:line="520" w:lineRule="exact"/>
        <w:ind w:firstLine="0" w:firstLineChars="0"/>
        <w:jc w:val="left"/>
        <w:rPr>
          <w:rFonts w:hint="default" w:ascii="Times New Roman" w:hAnsi="Times New Roman" w:cs="Times New Roman"/>
          <w:b w:val="0"/>
          <w:bCs w:val="0"/>
          <w:color w:val="auto"/>
          <w:kern w:val="2"/>
          <w:sz w:val="28"/>
          <w:szCs w:val="28"/>
          <w:highlight w:val="none"/>
          <w:u w:val="none"/>
          <w:lang w:val="en-US" w:eastAsia="zh-CN" w:bidi="ar"/>
        </w:rPr>
      </w:pPr>
      <w:r>
        <w:rPr>
          <w:rFonts w:hint="default" w:ascii="Times New Roman" w:hAnsi="Times New Roman" w:cs="Times New Roman"/>
          <w:b/>
          <w:bCs/>
          <w:color w:val="auto"/>
          <w:kern w:val="2"/>
          <w:sz w:val="28"/>
          <w:szCs w:val="28"/>
          <w:highlight w:val="none"/>
          <w:lang w:val="en-US" w:eastAsia="zh-CN" w:bidi="ar"/>
        </w:rPr>
        <w:t>丙方（</w:t>
      </w:r>
      <w:r>
        <w:rPr>
          <w:rFonts w:hint="default" w:ascii="Times New Roman" w:hAnsi="Times New Roman" w:cs="Times New Roman"/>
          <w:b/>
          <w:bCs/>
          <w:color w:val="auto"/>
          <w:kern w:val="2"/>
          <w:sz w:val="28"/>
          <w:szCs w:val="28"/>
          <w:highlight w:val="none"/>
          <w:lang w:bidi="ar"/>
        </w:rPr>
        <w:t>全称</w:t>
      </w:r>
      <w:r>
        <w:rPr>
          <w:rFonts w:hint="default" w:ascii="Times New Roman" w:hAnsi="Times New Roman" w:cs="Times New Roman"/>
          <w:b/>
          <w:bCs/>
          <w:color w:val="auto"/>
          <w:kern w:val="2"/>
          <w:sz w:val="28"/>
          <w:szCs w:val="28"/>
          <w:highlight w:val="none"/>
          <w:lang w:val="en-US" w:eastAsia="zh-CN" w:bidi="ar"/>
        </w:rPr>
        <w:t>）：</w:t>
      </w:r>
      <w:r>
        <w:rPr>
          <w:rFonts w:hint="default" w:ascii="Times New Roman" w:hAnsi="Times New Roman" w:cs="Times New Roman"/>
          <w:b w:val="0"/>
          <w:bCs w:val="0"/>
          <w:color w:val="auto"/>
          <w:kern w:val="2"/>
          <w:sz w:val="28"/>
          <w:szCs w:val="28"/>
          <w:highlight w:val="none"/>
          <w:u w:val="none"/>
          <w:lang w:val="en-US" w:eastAsia="zh-CN" w:bidi="ar"/>
        </w:rPr>
        <w:t xml:space="preserve">安徽皖运保险代理有限公司                    </w:t>
      </w:r>
    </w:p>
    <w:p w14:paraId="4FE53183">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为加强和规范安徽交控工程集团有限公司项目统一保险工作，依据《中华人民共和国民法典》及其它有关法律、法规，遵循平等、自愿、公平和诚实信用的原则，</w:t>
      </w:r>
      <w:r>
        <w:rPr>
          <w:rFonts w:hint="eastAsia" w:ascii="Times New Roman" w:hAnsi="Times New Roman" w:cs="Times New Roman"/>
          <w:color w:val="auto"/>
          <w:sz w:val="28"/>
          <w:szCs w:val="28"/>
          <w:highlight w:val="none"/>
          <w:lang w:val="en-US" w:eastAsia="zh-CN"/>
        </w:rPr>
        <w:t>各</w:t>
      </w:r>
      <w:r>
        <w:rPr>
          <w:rFonts w:ascii="Times New Roman" w:hAnsi="Times New Roman" w:cs="Times New Roman"/>
          <w:color w:val="auto"/>
          <w:sz w:val="28"/>
          <w:szCs w:val="28"/>
          <w:highlight w:val="none"/>
        </w:rPr>
        <w:t xml:space="preserve">方就统一保险事项协商一致，订立本合同。 </w:t>
      </w:r>
    </w:p>
    <w:p w14:paraId="059241E5">
      <w:pPr>
        <w:spacing w:line="520" w:lineRule="exact"/>
        <w:ind w:firstLine="560" w:firstLineChars="200"/>
        <w:rPr>
          <w:rFonts w:ascii="黑体" w:hAnsi="黑体" w:eastAsia="黑体" w:cs="Times New Roman"/>
          <w:b w:val="0"/>
          <w:color w:val="auto"/>
          <w:sz w:val="28"/>
          <w:szCs w:val="28"/>
          <w:highlight w:val="none"/>
        </w:rPr>
      </w:pPr>
      <w:r>
        <w:rPr>
          <w:rFonts w:hint="eastAsia" w:ascii="黑体" w:hAnsi="黑体" w:eastAsia="黑体" w:cs="Times New Roman"/>
          <w:b w:val="0"/>
          <w:color w:val="auto"/>
          <w:sz w:val="28"/>
          <w:szCs w:val="28"/>
          <w:highlight w:val="none"/>
        </w:rPr>
        <w:t>一、统一保险内容</w:t>
      </w:r>
    </w:p>
    <w:p w14:paraId="0B14B23B">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安徽交控工程集团有限公司保险服务项目内容：建筑工程一切险及第三者责任险、建工团意险、</w:t>
      </w:r>
      <w:r>
        <w:rPr>
          <w:rFonts w:hint="eastAsia" w:ascii="Times New Roman" w:hAnsi="Times New Roman" w:cs="Times New Roman"/>
          <w:color w:val="auto"/>
          <w:sz w:val="28"/>
          <w:szCs w:val="28"/>
          <w:highlight w:val="none"/>
        </w:rPr>
        <w:t>建工雇主险（或建工安责险附加雇主责任）</w:t>
      </w:r>
      <w:r>
        <w:rPr>
          <w:rFonts w:ascii="Times New Roman" w:hAnsi="Times New Roman" w:cs="Times New Roman"/>
          <w:color w:val="auto"/>
          <w:sz w:val="28"/>
          <w:szCs w:val="28"/>
          <w:highlight w:val="none"/>
        </w:rPr>
        <w:t>、建工安责险等保险服务项目。所涉建筑工程类保险、建工团意险、建工雇主险</w:t>
      </w:r>
      <w:r>
        <w:rPr>
          <w:rFonts w:hint="eastAsia" w:ascii="Times New Roman" w:hAnsi="Times New Roman" w:cs="Times New Roman"/>
          <w:color w:val="auto"/>
          <w:sz w:val="28"/>
          <w:szCs w:val="28"/>
          <w:highlight w:val="none"/>
        </w:rPr>
        <w:t>（或建工安责险附加雇主责任）</w:t>
      </w:r>
      <w:r>
        <w:rPr>
          <w:rFonts w:ascii="Times New Roman" w:hAnsi="Times New Roman" w:cs="Times New Roman"/>
          <w:color w:val="auto"/>
          <w:sz w:val="28"/>
          <w:szCs w:val="28"/>
          <w:highlight w:val="none"/>
        </w:rPr>
        <w:t>、建工安责险等投保金额预估</w:t>
      </w:r>
      <w:r>
        <w:rPr>
          <w:rFonts w:hint="eastAsia" w:ascii="Times New Roman" w:hAnsi="Times New Roman" w:cs="Times New Roman"/>
          <w:color w:val="auto"/>
          <w:sz w:val="28"/>
          <w:szCs w:val="28"/>
          <w:highlight w:val="none"/>
          <w:lang w:eastAsia="zh-CN"/>
        </w:rPr>
        <w:t>100亿元/年</w:t>
      </w:r>
      <w:r>
        <w:rPr>
          <w:rFonts w:ascii="Times New Roman" w:hAnsi="Times New Roman" w:cs="Times New Roman"/>
          <w:color w:val="auto"/>
          <w:sz w:val="28"/>
          <w:szCs w:val="28"/>
          <w:highlight w:val="none"/>
        </w:rPr>
        <w:t>（最终以实际投保金额为准）。</w:t>
      </w:r>
    </w:p>
    <w:p w14:paraId="22CD3F09">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建筑工程一切险及第三者责任险：</w:t>
      </w:r>
      <w:r>
        <w:rPr>
          <w:rFonts w:hint="eastAsia" w:ascii="宋体" w:hAnsi="宋体" w:eastAsia="宋体" w:cs="宋体"/>
          <w:color w:val="auto"/>
          <w:sz w:val="28"/>
          <w:szCs w:val="28"/>
          <w:highlight w:val="none"/>
        </w:rPr>
        <w:t>①</w:t>
      </w:r>
      <w:r>
        <w:rPr>
          <w:rFonts w:ascii="Times New Roman" w:hAnsi="Times New Roman" w:cs="Times New Roman"/>
          <w:color w:val="auto"/>
          <w:sz w:val="28"/>
          <w:szCs w:val="28"/>
          <w:highlight w:val="none"/>
        </w:rPr>
        <w:t>附加免费延期60天，第三者责任险每次事故赔偿限额100万元，每人每次赔偿限额100万元，事故次数不限。不计免赔：物质损失一般风险每次事故绝对免赔额5000元或损失金额的10%，两者以高者为准；特殊风险（暴风、暴雨、暴雪、洪水、地震、泥石流、冰凌、冰雹）每次事故绝对免赔额2万元或损失金额的15%，两者以高者为准；第三者责任部分无免赔。</w:t>
      </w:r>
    </w:p>
    <w:p w14:paraId="1BE387BC">
      <w:pPr>
        <w:spacing w:line="520" w:lineRule="exact"/>
        <w:ind w:firstLine="562" w:firstLineChars="200"/>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3.</w:t>
      </w:r>
      <w:r>
        <w:rPr>
          <w:rFonts w:hint="eastAsia" w:ascii="Times New Roman" w:hAnsi="Times New Roman" w:cs="Times New Roman"/>
          <w:b/>
          <w:color w:val="auto"/>
          <w:sz w:val="28"/>
          <w:szCs w:val="28"/>
          <w:highlight w:val="none"/>
          <w:lang w:val="en-US" w:eastAsia="zh-CN"/>
        </w:rPr>
        <w:t xml:space="preserve"> </w:t>
      </w:r>
      <w:r>
        <w:rPr>
          <w:rFonts w:ascii="Times New Roman" w:hAnsi="Times New Roman" w:cs="Times New Roman"/>
          <w:b/>
          <w:color w:val="auto"/>
          <w:sz w:val="28"/>
          <w:szCs w:val="28"/>
          <w:highlight w:val="none"/>
        </w:rPr>
        <w:t>依据安徽交控工程集团《2024年第十一次总经理办公会会议纪要》（2024年第20期），附加免费延期180天、</w:t>
      </w:r>
      <w:r>
        <w:rPr>
          <w:rFonts w:hint="eastAsia" w:ascii="Times New Roman" w:hAnsi="Times New Roman" w:cs="Times New Roman"/>
          <w:b/>
          <w:color w:val="auto"/>
          <w:sz w:val="28"/>
          <w:szCs w:val="28"/>
          <w:highlight w:val="none"/>
          <w:lang w:eastAsia="zh-CN"/>
        </w:rPr>
        <w:t>三者保额每次事故赔偿限额300万元</w:t>
      </w:r>
      <w:r>
        <w:rPr>
          <w:rFonts w:ascii="Times New Roman" w:hAnsi="Times New Roman" w:cs="Times New Roman"/>
          <w:b/>
          <w:color w:val="auto"/>
          <w:sz w:val="28"/>
          <w:szCs w:val="28"/>
          <w:highlight w:val="none"/>
        </w:rPr>
        <w:t>，附加费率0.1</w:t>
      </w:r>
      <w:r>
        <w:rPr>
          <w:rFonts w:hint="eastAsia" w:ascii="Times New Roman" w:hAnsi="Times New Roman" w:cs="Times New Roman"/>
          <w:b/>
          <w:color w:val="auto"/>
          <w:sz w:val="28"/>
          <w:szCs w:val="28"/>
          <w:highlight w:val="none"/>
          <w:lang w:val="en-US" w:eastAsia="zh-CN"/>
        </w:rPr>
        <w:t>0‰</w:t>
      </w:r>
      <w:r>
        <w:rPr>
          <w:rFonts w:ascii="Times New Roman" w:hAnsi="Times New Roman" w:cs="Times New Roman"/>
          <w:b/>
          <w:color w:val="auto"/>
          <w:sz w:val="28"/>
          <w:szCs w:val="28"/>
          <w:highlight w:val="none"/>
        </w:rPr>
        <w:t>；附加建筑、安装施工机具等被保内容，附加费率0.</w:t>
      </w:r>
      <w:r>
        <w:rPr>
          <w:rFonts w:hint="eastAsia" w:ascii="Times New Roman" w:hAnsi="Times New Roman" w:cs="Times New Roman"/>
          <w:b/>
          <w:color w:val="auto"/>
          <w:sz w:val="28"/>
          <w:szCs w:val="28"/>
          <w:highlight w:val="none"/>
          <w:lang w:val="en-US" w:eastAsia="zh-CN"/>
        </w:rPr>
        <w:t>10‰</w:t>
      </w:r>
      <w:r>
        <w:rPr>
          <w:rFonts w:ascii="Times New Roman" w:hAnsi="Times New Roman" w:cs="Times New Roman"/>
          <w:b/>
          <w:color w:val="auto"/>
          <w:sz w:val="28"/>
          <w:szCs w:val="28"/>
          <w:highlight w:val="none"/>
        </w:rPr>
        <w:t>，附加震动、移动条款、地上建筑开裂责任条款，附加费率0.</w:t>
      </w:r>
      <w:r>
        <w:rPr>
          <w:rFonts w:hint="eastAsia" w:ascii="Times New Roman" w:hAnsi="Times New Roman" w:cs="Times New Roman"/>
          <w:b/>
          <w:color w:val="auto"/>
          <w:sz w:val="28"/>
          <w:szCs w:val="28"/>
          <w:highlight w:val="none"/>
          <w:lang w:val="en-US" w:eastAsia="zh-CN"/>
        </w:rPr>
        <w:t>10‰</w:t>
      </w:r>
      <w:r>
        <w:rPr>
          <w:rFonts w:ascii="Times New Roman" w:hAnsi="Times New Roman" w:cs="Times New Roman"/>
          <w:b/>
          <w:color w:val="auto"/>
          <w:sz w:val="28"/>
          <w:szCs w:val="28"/>
          <w:highlight w:val="none"/>
        </w:rPr>
        <w:t>，该费用为不可竞争费，在</w:t>
      </w:r>
      <w:r>
        <w:rPr>
          <w:rFonts w:hint="eastAsia" w:ascii="Times New Roman" w:hAnsi="Times New Roman" w:cs="Times New Roman"/>
          <w:b/>
          <w:color w:val="auto"/>
          <w:sz w:val="28"/>
          <w:szCs w:val="28"/>
          <w:highlight w:val="none"/>
          <w:lang w:eastAsia="zh-CN"/>
        </w:rPr>
        <w:t>响应人</w:t>
      </w:r>
      <w:r>
        <w:rPr>
          <w:rFonts w:ascii="Times New Roman" w:hAnsi="Times New Roman" w:cs="Times New Roman"/>
          <w:b/>
          <w:color w:val="auto"/>
          <w:sz w:val="28"/>
          <w:szCs w:val="28"/>
          <w:highlight w:val="none"/>
        </w:rPr>
        <w:t>报价时和合同签订时不允调整。</w:t>
      </w:r>
    </w:p>
    <w:p w14:paraId="750F0F74">
      <w:pPr>
        <w:spacing w:line="520" w:lineRule="exact"/>
        <w:ind w:firstLine="560" w:firstLineChars="200"/>
        <w:rPr>
          <w:rFonts w:hint="default" w:ascii="Times New Roman" w:hAnsi="Times New Roman" w:cs="Times New Roman" w:eastAsiaTheme="minorEastAsia"/>
          <w:color w:val="auto"/>
          <w:sz w:val="28"/>
          <w:szCs w:val="28"/>
          <w:highlight w:val="none"/>
          <w:lang w:val="en-US" w:eastAsia="zh-CN"/>
        </w:rPr>
      </w:pPr>
      <w:r>
        <w:rPr>
          <w:rFonts w:ascii="Times New Roman" w:hAnsi="Times New Roman" w:cs="Times New Roman"/>
          <w:color w:val="auto"/>
          <w:sz w:val="28"/>
          <w:szCs w:val="28"/>
          <w:highlight w:val="none"/>
        </w:rPr>
        <w:t>4.</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建工团意险、</w:t>
      </w:r>
      <w:r>
        <w:rPr>
          <w:rFonts w:hint="eastAsia" w:ascii="Times New Roman" w:hAnsi="Times New Roman" w:cs="Times New Roman"/>
          <w:color w:val="auto"/>
          <w:sz w:val="28"/>
          <w:szCs w:val="28"/>
          <w:highlight w:val="none"/>
        </w:rPr>
        <w:t>建工雇主险（或建工安责险附加雇主责任）</w:t>
      </w:r>
      <w:r>
        <w:rPr>
          <w:rFonts w:ascii="Times New Roman" w:hAnsi="Times New Roman" w:cs="Times New Roman"/>
          <w:color w:val="auto"/>
          <w:sz w:val="28"/>
          <w:szCs w:val="28"/>
          <w:highlight w:val="none"/>
        </w:rPr>
        <w:t>、建工安责险赔偿限额 ：附加免费延期180天，人身伤亡赔偿限额各60万元/人、意外医疗赔偿限额各6万元/人。不计免赔：保险人每次理赔时在扣除人民币100元免赔额后，在意外医疗保险金额范围内，按实际支出的医疗费用100%比例给付保险金。</w:t>
      </w:r>
      <w:r>
        <w:rPr>
          <w:rFonts w:hint="eastAsia" w:ascii="Times New Roman" w:hAnsi="Times New Roman" w:cs="Times New Roman"/>
          <w:color w:val="auto"/>
          <w:sz w:val="28"/>
          <w:szCs w:val="28"/>
          <w:highlight w:val="none"/>
          <w:lang w:eastAsia="zh-CN"/>
        </w:rPr>
        <w:t>对下分包建工雇主险</w:t>
      </w:r>
      <w:r>
        <w:rPr>
          <w:rFonts w:hint="eastAsia" w:ascii="Times New Roman" w:hAnsi="Times New Roman" w:cs="Times New Roman"/>
          <w:color w:val="auto"/>
          <w:sz w:val="28"/>
          <w:szCs w:val="28"/>
          <w:highlight w:val="none"/>
          <w:u w:val="single"/>
          <w:lang w:eastAsia="zh-CN"/>
        </w:rPr>
        <w:t>（或建工安责险）</w:t>
      </w:r>
      <w:r>
        <w:rPr>
          <w:rFonts w:hint="eastAsia" w:ascii="Times New Roman" w:hAnsi="Times New Roman" w:cs="Times New Roman"/>
          <w:color w:val="auto"/>
          <w:sz w:val="28"/>
          <w:szCs w:val="28"/>
          <w:highlight w:val="none"/>
          <w:u w:val="none"/>
          <w:lang w:eastAsia="zh-CN"/>
        </w:rPr>
        <w:t>附加突发疾病死亡保险，每人赔偿限额</w:t>
      </w:r>
      <w:r>
        <w:rPr>
          <w:rFonts w:hint="eastAsia" w:ascii="Times New Roman" w:hAnsi="Times New Roman" w:cs="Times New Roman"/>
          <w:color w:val="auto"/>
          <w:sz w:val="28"/>
          <w:szCs w:val="28"/>
          <w:highlight w:val="none"/>
          <w:u w:val="none"/>
          <w:lang w:val="en-US" w:eastAsia="zh-CN"/>
        </w:rPr>
        <w:t>20万元。</w:t>
      </w:r>
    </w:p>
    <w:p w14:paraId="7665C886">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5.</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建工安责险第三者部分：附加免费延期180天，第三者责任险部分每次事故赔偿限额300万元，每次事故每人赔偿限额100万元，事故次数不限。</w:t>
      </w:r>
    </w:p>
    <w:p w14:paraId="36677107">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6.</w:t>
      </w:r>
      <w:r>
        <w:rPr>
          <w:rFonts w:hint="default"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本次采购采用</w:t>
      </w:r>
      <w:r>
        <w:rPr>
          <w:rFonts w:hint="eastAsia" w:ascii="Times New Roman" w:hAnsi="Times New Roman" w:cs="Times New Roman"/>
          <w:color w:val="auto"/>
          <w:sz w:val="28"/>
          <w:szCs w:val="28"/>
          <w:highlight w:val="none"/>
          <w:lang w:eastAsia="zh-CN"/>
        </w:rPr>
        <w:t>1年+1年模式</w:t>
      </w:r>
      <w:r>
        <w:rPr>
          <w:rFonts w:ascii="Times New Roman" w:hAnsi="Times New Roman" w:cs="Times New Roman"/>
          <w:color w:val="auto"/>
          <w:sz w:val="28"/>
          <w:szCs w:val="28"/>
          <w:highlight w:val="none"/>
        </w:rPr>
        <w:t>，服务期限为合同签订之日起1年，对于首次年度评价为良好及以上等次的可续签1年，每年度评价为合格及以下等次的不再续签。保险服务履约考核细则如下：</w:t>
      </w:r>
    </w:p>
    <w:p w14:paraId="124424E9">
      <w:pPr>
        <w:spacing w:line="520" w:lineRule="exact"/>
        <w:ind w:firstLine="0" w:firstLineChars="0"/>
        <w:jc w:val="center"/>
        <w:rPr>
          <w:rFonts w:ascii="黑体" w:hAnsi="黑体" w:eastAsia="黑体" w:cs="Times New Roman"/>
          <w:b w:val="0"/>
          <w:color w:val="auto"/>
          <w:sz w:val="28"/>
          <w:szCs w:val="28"/>
          <w:highlight w:val="none"/>
        </w:rPr>
      </w:pPr>
      <w:r>
        <w:rPr>
          <w:rFonts w:hint="eastAsia" w:ascii="黑体" w:hAnsi="黑体" w:eastAsia="黑体" w:cs="Times New Roman"/>
          <w:b w:val="0"/>
          <w:color w:val="auto"/>
          <w:sz w:val="28"/>
          <w:szCs w:val="28"/>
          <w:highlight w:val="none"/>
        </w:rPr>
        <w:t>安徽交控工程集团</w:t>
      </w:r>
      <w:r>
        <w:rPr>
          <w:rFonts w:hint="eastAsia" w:ascii="黑体" w:hAnsi="黑体" w:eastAsia="黑体" w:cs="Times New Roman"/>
          <w:b w:val="0"/>
          <w:color w:val="auto"/>
          <w:sz w:val="28"/>
          <w:szCs w:val="28"/>
          <w:highlight w:val="none"/>
          <w:lang w:eastAsia="zh-CN"/>
        </w:rPr>
        <w:t>有限公司</w:t>
      </w:r>
      <w:r>
        <w:rPr>
          <w:rFonts w:hint="eastAsia" w:ascii="黑体" w:hAnsi="黑体" w:eastAsia="黑体" w:cs="Times New Roman"/>
          <w:b w:val="0"/>
          <w:color w:val="auto"/>
          <w:sz w:val="28"/>
          <w:szCs w:val="28"/>
          <w:highlight w:val="none"/>
        </w:rPr>
        <w:t>保险服务年度履约考核细则</w:t>
      </w:r>
    </w:p>
    <w:p w14:paraId="1FA32494">
      <w:pPr>
        <w:spacing w:line="520" w:lineRule="exact"/>
        <w:ind w:firstLine="560" w:firstLineChars="2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eastAsia="zh-CN"/>
        </w:rPr>
        <w:t>）安徽交控工程集团有限公司</w:t>
      </w:r>
      <w:r>
        <w:rPr>
          <w:rFonts w:ascii="Times New Roman" w:hAnsi="Times New Roman" w:cs="Times New Roman"/>
          <w:color w:val="auto"/>
          <w:sz w:val="28"/>
          <w:szCs w:val="28"/>
          <w:highlight w:val="none"/>
        </w:rPr>
        <w:t>组建评价小组，由安全环保部、项目管理中心、各直属单位负责人组成。</w:t>
      </w:r>
    </w:p>
    <w:p w14:paraId="250D6483">
      <w:pPr>
        <w:spacing w:line="520" w:lineRule="exact"/>
        <w:ind w:firstLine="560" w:firstLineChars="2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2</w:t>
      </w:r>
      <w:r>
        <w:rPr>
          <w:rFonts w:hint="eastAsia" w:ascii="Times New Roman" w:hAnsi="Times New Roman" w:cs="Times New Roman"/>
          <w:color w:val="auto"/>
          <w:sz w:val="28"/>
          <w:szCs w:val="28"/>
          <w:highlight w:val="none"/>
          <w:lang w:eastAsia="zh-CN"/>
        </w:rPr>
        <w:t>）</w:t>
      </w:r>
      <w:r>
        <w:rPr>
          <w:rFonts w:ascii="Times New Roman" w:hAnsi="Times New Roman" w:cs="Times New Roman"/>
          <w:color w:val="auto"/>
          <w:sz w:val="28"/>
          <w:szCs w:val="28"/>
          <w:highlight w:val="none"/>
        </w:rPr>
        <w:t>各直属单位根据当年度的保险采购情况对成交单位进行履约考核打分，分别从“出单时效、查勘时效、理赔时效、服务质量”四个方面进行履约打分，满分100分，并由主办部门对评价结果进行汇总，计算出各单位的考核分值的平均值作为评价结果分类的唯一标准。具体考核内如如下：</w:t>
      </w:r>
    </w:p>
    <w:p w14:paraId="41031540">
      <w:pPr>
        <w:spacing w:line="520" w:lineRule="exact"/>
        <w:ind w:firstLine="560" w:firstLineChars="2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3</w:t>
      </w:r>
      <w:r>
        <w:rPr>
          <w:rFonts w:hint="eastAsia" w:ascii="Times New Roman" w:hAnsi="Times New Roman" w:cs="Times New Roman"/>
          <w:color w:val="auto"/>
          <w:sz w:val="28"/>
          <w:szCs w:val="28"/>
          <w:highlight w:val="none"/>
          <w:lang w:eastAsia="zh-CN"/>
        </w:rPr>
        <w:t>）</w:t>
      </w:r>
      <w:r>
        <w:rPr>
          <w:rFonts w:ascii="Times New Roman" w:hAnsi="Times New Roman" w:cs="Times New Roman"/>
          <w:color w:val="auto"/>
          <w:sz w:val="28"/>
          <w:szCs w:val="28"/>
          <w:highlight w:val="none"/>
        </w:rPr>
        <w:t>根据评价得分将服务商划分为四个等级，划分标准如下（评分取整数）：优秀（得分＞85分）、良好（85分</w:t>
      </w:r>
      <w:r>
        <w:rPr>
          <w:rFonts w:hint="eastAsia" w:ascii="宋体" w:hAnsi="宋体" w:eastAsia="宋体" w:cs="宋体"/>
          <w:color w:val="auto"/>
          <w:sz w:val="28"/>
          <w:szCs w:val="28"/>
          <w:highlight w:val="none"/>
        </w:rPr>
        <w:t>≧</w:t>
      </w:r>
      <w:r>
        <w:rPr>
          <w:rFonts w:ascii="Times New Roman" w:hAnsi="Times New Roman" w:cs="Times New Roman"/>
          <w:color w:val="auto"/>
          <w:sz w:val="28"/>
          <w:szCs w:val="28"/>
          <w:highlight w:val="none"/>
        </w:rPr>
        <w:t>得分＞70 分）、合格（70分</w:t>
      </w:r>
      <w:r>
        <w:rPr>
          <w:rFonts w:hint="eastAsia" w:ascii="宋体" w:hAnsi="宋体" w:eastAsia="宋体" w:cs="宋体"/>
          <w:color w:val="auto"/>
          <w:sz w:val="28"/>
          <w:szCs w:val="28"/>
          <w:highlight w:val="none"/>
        </w:rPr>
        <w:t>≧</w:t>
      </w:r>
      <w:r>
        <w:rPr>
          <w:rFonts w:ascii="Times New Roman" w:hAnsi="Times New Roman" w:cs="Times New Roman"/>
          <w:color w:val="auto"/>
          <w:sz w:val="28"/>
          <w:szCs w:val="28"/>
          <w:highlight w:val="none"/>
        </w:rPr>
        <w:t>得分</w:t>
      </w:r>
      <w:r>
        <w:rPr>
          <w:rFonts w:hint="eastAsia" w:ascii="宋体" w:hAnsi="宋体" w:eastAsia="宋体" w:cs="宋体"/>
          <w:color w:val="auto"/>
          <w:sz w:val="28"/>
          <w:szCs w:val="28"/>
          <w:highlight w:val="none"/>
        </w:rPr>
        <w:t>≧</w:t>
      </w:r>
      <w:r>
        <w:rPr>
          <w:rFonts w:ascii="Times New Roman" w:hAnsi="Times New Roman" w:cs="Times New Roman"/>
          <w:color w:val="auto"/>
          <w:sz w:val="28"/>
          <w:szCs w:val="28"/>
          <w:highlight w:val="none"/>
        </w:rPr>
        <w:t>60分）、不合格（得分&lt;60分）。</w:t>
      </w:r>
    </w:p>
    <w:p w14:paraId="37D1D035">
      <w:pPr>
        <w:spacing w:line="560" w:lineRule="exact"/>
        <w:ind w:firstLine="0" w:firstLineChars="0"/>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交控工程集团</w:t>
      </w:r>
      <w:r>
        <w:rPr>
          <w:rFonts w:hint="eastAsia" w:ascii="黑体" w:hAnsi="黑体" w:eastAsia="黑体" w:cs="Times New Roman"/>
          <w:b w:val="0"/>
          <w:color w:val="auto"/>
          <w:sz w:val="28"/>
          <w:szCs w:val="28"/>
          <w:highlight w:val="none"/>
          <w:lang w:eastAsia="zh-CN"/>
        </w:rPr>
        <w:t>有限公司</w:t>
      </w:r>
      <w:r>
        <w:rPr>
          <w:rFonts w:ascii="Times New Roman" w:hAnsi="Times New Roman" w:cs="Times New Roman"/>
          <w:b/>
          <w:bCs/>
          <w:color w:val="auto"/>
          <w:sz w:val="28"/>
          <w:szCs w:val="28"/>
          <w:highlight w:val="none"/>
        </w:rPr>
        <w:t>保险服务年度履约考核表</w:t>
      </w:r>
    </w:p>
    <w:tbl>
      <w:tblPr>
        <w:tblStyle w:val="31"/>
        <w:tblW w:w="9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69"/>
        <w:gridCol w:w="708"/>
        <w:gridCol w:w="3418"/>
        <w:gridCol w:w="2000"/>
        <w:gridCol w:w="909"/>
        <w:gridCol w:w="794"/>
      </w:tblGrid>
      <w:tr w14:paraId="6C6DA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tblHeader/>
          <w:jc w:val="center"/>
        </w:trPr>
        <w:tc>
          <w:tcPr>
            <w:tcW w:w="1269" w:type="dxa"/>
            <w:shd w:val="clear" w:color="auto" w:fill="auto"/>
            <w:vAlign w:val="center"/>
          </w:tcPr>
          <w:p w14:paraId="4D3F899D">
            <w:pPr>
              <w:jc w:val="center"/>
              <w:rPr>
                <w:rFonts w:hint="eastAsia" w:ascii="Times New Roman" w:hAnsi="Times New Roman" w:cs="Times New Roman" w:eastAsiaTheme="minorEastAsia"/>
                <w:color w:val="auto"/>
                <w:sz w:val="24"/>
                <w:highlight w:val="none"/>
                <w:lang w:eastAsia="zh-CN"/>
              </w:rPr>
            </w:pPr>
            <w:r>
              <w:rPr>
                <w:rFonts w:hint="eastAsia" w:ascii="Times New Roman" w:hAnsi="Times New Roman" w:cs="Times New Roman"/>
                <w:color w:val="auto"/>
                <w:sz w:val="24"/>
                <w:highlight w:val="none"/>
              </w:rPr>
              <w:t>服务商</w:t>
            </w:r>
          </w:p>
          <w:p w14:paraId="4335C35E">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名称</w:t>
            </w:r>
          </w:p>
        </w:tc>
        <w:tc>
          <w:tcPr>
            <w:tcW w:w="4126" w:type="dxa"/>
            <w:gridSpan w:val="2"/>
            <w:shd w:val="clear" w:color="auto" w:fill="auto"/>
            <w:vAlign w:val="center"/>
          </w:tcPr>
          <w:p w14:paraId="5AAC2CE6">
            <w:pPr>
              <w:jc w:val="center"/>
              <w:rPr>
                <w:rFonts w:ascii="Times New Roman" w:hAnsi="Times New Roman" w:cs="Times New Roman"/>
                <w:color w:val="auto"/>
                <w:sz w:val="24"/>
                <w:highlight w:val="none"/>
              </w:rPr>
            </w:pPr>
          </w:p>
        </w:tc>
        <w:tc>
          <w:tcPr>
            <w:tcW w:w="2000" w:type="dxa"/>
            <w:shd w:val="clear" w:color="auto" w:fill="auto"/>
            <w:vAlign w:val="center"/>
          </w:tcPr>
          <w:p w14:paraId="2D247393">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评价日期</w:t>
            </w:r>
          </w:p>
        </w:tc>
        <w:tc>
          <w:tcPr>
            <w:tcW w:w="1703" w:type="dxa"/>
            <w:gridSpan w:val="2"/>
            <w:shd w:val="clear" w:color="auto" w:fill="auto"/>
            <w:vAlign w:val="center"/>
          </w:tcPr>
          <w:p w14:paraId="55319182">
            <w:pPr>
              <w:jc w:val="center"/>
              <w:rPr>
                <w:rFonts w:ascii="Times New Roman" w:hAnsi="Times New Roman" w:cs="Times New Roman"/>
                <w:color w:val="auto"/>
                <w:sz w:val="24"/>
                <w:highlight w:val="none"/>
              </w:rPr>
            </w:pPr>
          </w:p>
        </w:tc>
      </w:tr>
      <w:tr w14:paraId="7598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blHeader/>
          <w:jc w:val="center"/>
        </w:trPr>
        <w:tc>
          <w:tcPr>
            <w:tcW w:w="1269" w:type="dxa"/>
            <w:shd w:val="clear" w:color="auto" w:fill="auto"/>
            <w:vAlign w:val="center"/>
          </w:tcPr>
          <w:p w14:paraId="2FB26212">
            <w:pPr>
              <w:jc w:val="center"/>
              <w:rPr>
                <w:rFonts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履约内容</w:t>
            </w:r>
          </w:p>
        </w:tc>
        <w:tc>
          <w:tcPr>
            <w:tcW w:w="708" w:type="dxa"/>
            <w:shd w:val="clear" w:color="auto" w:fill="auto"/>
            <w:vAlign w:val="center"/>
          </w:tcPr>
          <w:p w14:paraId="7FCB6EB6">
            <w:pPr>
              <w:jc w:val="center"/>
              <w:rPr>
                <w:rFonts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分值</w:t>
            </w:r>
          </w:p>
        </w:tc>
        <w:tc>
          <w:tcPr>
            <w:tcW w:w="5418" w:type="dxa"/>
            <w:gridSpan w:val="2"/>
            <w:shd w:val="clear" w:color="auto" w:fill="auto"/>
            <w:vAlign w:val="center"/>
          </w:tcPr>
          <w:p w14:paraId="33C3E7E0">
            <w:pPr>
              <w:jc w:val="center"/>
              <w:rPr>
                <w:rFonts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评价计分规则</w:t>
            </w:r>
          </w:p>
        </w:tc>
        <w:tc>
          <w:tcPr>
            <w:tcW w:w="909" w:type="dxa"/>
            <w:shd w:val="clear" w:color="auto" w:fill="auto"/>
            <w:vAlign w:val="center"/>
          </w:tcPr>
          <w:p w14:paraId="5E8A53E0">
            <w:pPr>
              <w:jc w:val="center"/>
              <w:rPr>
                <w:rFonts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得分</w:t>
            </w:r>
          </w:p>
        </w:tc>
        <w:tc>
          <w:tcPr>
            <w:tcW w:w="794" w:type="dxa"/>
            <w:shd w:val="clear" w:color="auto" w:fill="auto"/>
            <w:vAlign w:val="center"/>
          </w:tcPr>
          <w:p w14:paraId="3F106629">
            <w:pPr>
              <w:jc w:val="center"/>
              <w:rPr>
                <w:rFonts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备注</w:t>
            </w:r>
          </w:p>
        </w:tc>
      </w:tr>
      <w:tr w14:paraId="12B7B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69" w:type="dxa"/>
            <w:shd w:val="clear" w:color="auto" w:fill="auto"/>
            <w:vAlign w:val="center"/>
          </w:tcPr>
          <w:p w14:paraId="073DBAEB">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出单时效</w:t>
            </w:r>
          </w:p>
        </w:tc>
        <w:tc>
          <w:tcPr>
            <w:tcW w:w="708" w:type="dxa"/>
            <w:shd w:val="clear" w:color="auto" w:fill="auto"/>
            <w:vAlign w:val="center"/>
          </w:tcPr>
          <w:p w14:paraId="10DD2830">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w:t>
            </w:r>
          </w:p>
        </w:tc>
        <w:tc>
          <w:tcPr>
            <w:tcW w:w="5418" w:type="dxa"/>
            <w:gridSpan w:val="2"/>
            <w:shd w:val="clear" w:color="auto" w:fill="auto"/>
            <w:vAlign w:val="center"/>
          </w:tcPr>
          <w:p w14:paraId="08701E68">
            <w:pPr>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中标后不按采购人明确的时间出具保险单，每次扣</w:t>
            </w: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rPr>
              <w:t>分；保单中未能满足采购需求及响应条件的，每次扣</w:t>
            </w: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rPr>
              <w:t>分；未能按采购人要求进行现场踏勘延误项目投保进度的，每次扣</w:t>
            </w:r>
            <w:r>
              <w:rPr>
                <w:rFonts w:ascii="Times New Roman" w:hAnsi="Times New Roman" w:cs="Times New Roman"/>
                <w:color w:val="auto"/>
                <w:sz w:val="24"/>
                <w:highlight w:val="none"/>
              </w:rPr>
              <w:t>5</w:t>
            </w:r>
            <w:r>
              <w:rPr>
                <w:rFonts w:hint="eastAsia" w:ascii="Times New Roman" w:hAnsi="Times New Roman" w:cs="Times New Roman"/>
                <w:color w:val="auto"/>
                <w:sz w:val="24"/>
                <w:highlight w:val="none"/>
              </w:rPr>
              <w:t>分。</w:t>
            </w:r>
          </w:p>
        </w:tc>
        <w:tc>
          <w:tcPr>
            <w:tcW w:w="909" w:type="dxa"/>
            <w:shd w:val="clear" w:color="auto" w:fill="auto"/>
            <w:vAlign w:val="center"/>
          </w:tcPr>
          <w:p w14:paraId="08F6690C">
            <w:pPr>
              <w:jc w:val="center"/>
              <w:rPr>
                <w:rFonts w:ascii="Times New Roman" w:hAnsi="Times New Roman" w:cs="Times New Roman"/>
                <w:color w:val="auto"/>
                <w:sz w:val="24"/>
                <w:highlight w:val="none"/>
              </w:rPr>
            </w:pPr>
          </w:p>
        </w:tc>
        <w:tc>
          <w:tcPr>
            <w:tcW w:w="794" w:type="dxa"/>
            <w:shd w:val="clear" w:color="auto" w:fill="auto"/>
            <w:vAlign w:val="center"/>
          </w:tcPr>
          <w:p w14:paraId="6D1106A1">
            <w:pPr>
              <w:jc w:val="center"/>
              <w:rPr>
                <w:rFonts w:ascii="Times New Roman" w:hAnsi="Times New Roman" w:cs="Times New Roman"/>
                <w:color w:val="auto"/>
                <w:sz w:val="24"/>
                <w:highlight w:val="none"/>
              </w:rPr>
            </w:pPr>
          </w:p>
        </w:tc>
      </w:tr>
      <w:tr w14:paraId="64B4E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69" w:type="dxa"/>
            <w:shd w:val="clear" w:color="auto" w:fill="auto"/>
            <w:vAlign w:val="center"/>
          </w:tcPr>
          <w:p w14:paraId="4E6D7D3D">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查勘时效</w:t>
            </w:r>
          </w:p>
        </w:tc>
        <w:tc>
          <w:tcPr>
            <w:tcW w:w="708" w:type="dxa"/>
            <w:shd w:val="clear" w:color="auto" w:fill="auto"/>
            <w:vAlign w:val="center"/>
          </w:tcPr>
          <w:p w14:paraId="7695E999">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w:t>
            </w:r>
          </w:p>
        </w:tc>
        <w:tc>
          <w:tcPr>
            <w:tcW w:w="5418" w:type="dxa"/>
            <w:gridSpan w:val="2"/>
            <w:shd w:val="clear" w:color="auto" w:fill="auto"/>
            <w:vAlign w:val="center"/>
          </w:tcPr>
          <w:p w14:paraId="4F1D3D19">
            <w:pPr>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事故现场勘察不及时的，每次扣</w:t>
            </w: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rPr>
              <w:t>分；拖延推诿定损理赔的，每次扣</w:t>
            </w:r>
            <w:r>
              <w:rPr>
                <w:rFonts w:ascii="Times New Roman" w:hAnsi="Times New Roman" w:cs="Times New Roman"/>
                <w:color w:val="auto"/>
                <w:sz w:val="24"/>
                <w:highlight w:val="none"/>
              </w:rPr>
              <w:t>5</w:t>
            </w:r>
            <w:r>
              <w:rPr>
                <w:rFonts w:hint="eastAsia" w:ascii="Times New Roman" w:hAnsi="Times New Roman" w:cs="Times New Roman"/>
                <w:color w:val="auto"/>
                <w:sz w:val="24"/>
                <w:highlight w:val="none"/>
              </w:rPr>
              <w:t>分；对事实清楚责任清晰的案件拒赔的，一次</w:t>
            </w:r>
            <w:r>
              <w:rPr>
                <w:rFonts w:ascii="Times New Roman" w:hAnsi="Times New Roman" w:cs="Times New Roman"/>
                <w:color w:val="auto"/>
                <w:sz w:val="24"/>
                <w:highlight w:val="none"/>
              </w:rPr>
              <w:t>20</w:t>
            </w:r>
            <w:r>
              <w:rPr>
                <w:rFonts w:hint="eastAsia" w:ascii="Times New Roman" w:hAnsi="Times New Roman" w:cs="Times New Roman"/>
                <w:color w:val="auto"/>
                <w:sz w:val="24"/>
                <w:highlight w:val="none"/>
              </w:rPr>
              <w:t>分。</w:t>
            </w:r>
          </w:p>
        </w:tc>
        <w:tc>
          <w:tcPr>
            <w:tcW w:w="909" w:type="dxa"/>
            <w:shd w:val="clear" w:color="auto" w:fill="auto"/>
            <w:vAlign w:val="center"/>
          </w:tcPr>
          <w:p w14:paraId="303D7D25">
            <w:pPr>
              <w:jc w:val="center"/>
              <w:rPr>
                <w:rFonts w:ascii="Times New Roman" w:hAnsi="Times New Roman" w:cs="Times New Roman"/>
                <w:color w:val="auto"/>
                <w:sz w:val="24"/>
                <w:highlight w:val="none"/>
              </w:rPr>
            </w:pPr>
          </w:p>
        </w:tc>
        <w:tc>
          <w:tcPr>
            <w:tcW w:w="794" w:type="dxa"/>
            <w:shd w:val="clear" w:color="auto" w:fill="auto"/>
            <w:vAlign w:val="center"/>
          </w:tcPr>
          <w:p w14:paraId="617F3867">
            <w:pPr>
              <w:jc w:val="center"/>
              <w:rPr>
                <w:rFonts w:ascii="Times New Roman" w:hAnsi="Times New Roman" w:cs="Times New Roman"/>
                <w:color w:val="auto"/>
                <w:sz w:val="24"/>
                <w:highlight w:val="none"/>
              </w:rPr>
            </w:pPr>
          </w:p>
        </w:tc>
      </w:tr>
      <w:tr w14:paraId="1EB69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69" w:type="dxa"/>
            <w:shd w:val="clear" w:color="auto" w:fill="auto"/>
            <w:vAlign w:val="center"/>
          </w:tcPr>
          <w:p w14:paraId="0E3B4380">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理赔时效</w:t>
            </w:r>
          </w:p>
        </w:tc>
        <w:tc>
          <w:tcPr>
            <w:tcW w:w="708" w:type="dxa"/>
            <w:shd w:val="clear" w:color="auto" w:fill="auto"/>
            <w:vAlign w:val="center"/>
          </w:tcPr>
          <w:p w14:paraId="409F4DE0">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w:t>
            </w:r>
          </w:p>
        </w:tc>
        <w:tc>
          <w:tcPr>
            <w:tcW w:w="5418" w:type="dxa"/>
            <w:gridSpan w:val="2"/>
            <w:shd w:val="clear" w:color="auto" w:fill="auto"/>
            <w:vAlign w:val="center"/>
          </w:tcPr>
          <w:p w14:paraId="7073FC64">
            <w:pPr>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出现理赔案件未能及时接访跟进的，每次扣</w:t>
            </w: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rPr>
              <w:t>分；案件资料收集后未能及时有效理赔处理的，每次扣</w:t>
            </w:r>
            <w:r>
              <w:rPr>
                <w:rFonts w:ascii="Times New Roman" w:hAnsi="Times New Roman" w:cs="Times New Roman"/>
                <w:color w:val="auto"/>
                <w:sz w:val="24"/>
                <w:highlight w:val="none"/>
              </w:rPr>
              <w:t>5</w:t>
            </w:r>
            <w:r>
              <w:rPr>
                <w:rFonts w:hint="eastAsia" w:ascii="Times New Roman" w:hAnsi="Times New Roman" w:cs="Times New Roman"/>
                <w:color w:val="auto"/>
                <w:sz w:val="24"/>
                <w:highlight w:val="none"/>
              </w:rPr>
              <w:t>分。</w:t>
            </w:r>
          </w:p>
        </w:tc>
        <w:tc>
          <w:tcPr>
            <w:tcW w:w="909" w:type="dxa"/>
            <w:shd w:val="clear" w:color="auto" w:fill="auto"/>
            <w:vAlign w:val="center"/>
          </w:tcPr>
          <w:p w14:paraId="1EA8F5C5">
            <w:pPr>
              <w:jc w:val="center"/>
              <w:rPr>
                <w:rFonts w:ascii="Times New Roman" w:hAnsi="Times New Roman" w:cs="Times New Roman"/>
                <w:color w:val="auto"/>
                <w:sz w:val="24"/>
                <w:highlight w:val="none"/>
              </w:rPr>
            </w:pPr>
          </w:p>
        </w:tc>
        <w:tc>
          <w:tcPr>
            <w:tcW w:w="794" w:type="dxa"/>
            <w:shd w:val="clear" w:color="auto" w:fill="auto"/>
            <w:vAlign w:val="center"/>
          </w:tcPr>
          <w:p w14:paraId="39D6FCFF">
            <w:pPr>
              <w:jc w:val="center"/>
              <w:rPr>
                <w:rFonts w:ascii="Times New Roman" w:hAnsi="Times New Roman" w:cs="Times New Roman"/>
                <w:color w:val="auto"/>
                <w:sz w:val="24"/>
                <w:highlight w:val="none"/>
              </w:rPr>
            </w:pPr>
          </w:p>
        </w:tc>
      </w:tr>
      <w:tr w14:paraId="16D73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69" w:type="dxa"/>
            <w:shd w:val="clear" w:color="auto" w:fill="auto"/>
            <w:vAlign w:val="center"/>
          </w:tcPr>
          <w:p w14:paraId="29558777">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服务质量</w:t>
            </w:r>
          </w:p>
        </w:tc>
        <w:tc>
          <w:tcPr>
            <w:tcW w:w="708" w:type="dxa"/>
            <w:shd w:val="clear" w:color="auto" w:fill="auto"/>
            <w:vAlign w:val="center"/>
          </w:tcPr>
          <w:p w14:paraId="564B11E4">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w:t>
            </w:r>
          </w:p>
        </w:tc>
        <w:tc>
          <w:tcPr>
            <w:tcW w:w="5418" w:type="dxa"/>
            <w:gridSpan w:val="2"/>
            <w:shd w:val="clear" w:color="auto" w:fill="auto"/>
            <w:vAlign w:val="center"/>
          </w:tcPr>
          <w:p w14:paraId="6DBC1459">
            <w:pPr>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服务过程中与采购方发生激烈争执的，每次扣</w:t>
            </w: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rPr>
              <w:t>分；因服务商原因保单未及时生效的，每次扣</w:t>
            </w:r>
            <w:r>
              <w:rPr>
                <w:rFonts w:ascii="Times New Roman" w:hAnsi="Times New Roman" w:cs="Times New Roman"/>
                <w:color w:val="auto"/>
                <w:sz w:val="24"/>
                <w:highlight w:val="none"/>
              </w:rPr>
              <w:t>5</w:t>
            </w:r>
            <w:r>
              <w:rPr>
                <w:rFonts w:hint="eastAsia" w:ascii="Times New Roman" w:hAnsi="Times New Roman" w:cs="Times New Roman"/>
                <w:color w:val="auto"/>
                <w:sz w:val="24"/>
                <w:highlight w:val="none"/>
              </w:rPr>
              <w:t>分；因服务商未及时承保无法理赔的，一次</w:t>
            </w:r>
            <w:r>
              <w:rPr>
                <w:rFonts w:ascii="Times New Roman" w:hAnsi="Times New Roman" w:cs="Times New Roman"/>
                <w:color w:val="auto"/>
                <w:sz w:val="24"/>
                <w:highlight w:val="none"/>
              </w:rPr>
              <w:t>20</w:t>
            </w:r>
            <w:r>
              <w:rPr>
                <w:rFonts w:hint="eastAsia" w:ascii="Times New Roman" w:hAnsi="Times New Roman" w:cs="Times New Roman"/>
                <w:color w:val="auto"/>
                <w:sz w:val="24"/>
                <w:highlight w:val="none"/>
              </w:rPr>
              <w:t>分。</w:t>
            </w:r>
          </w:p>
        </w:tc>
        <w:tc>
          <w:tcPr>
            <w:tcW w:w="909" w:type="dxa"/>
            <w:shd w:val="clear" w:color="auto" w:fill="auto"/>
            <w:vAlign w:val="center"/>
          </w:tcPr>
          <w:p w14:paraId="2D2D26B8">
            <w:pPr>
              <w:jc w:val="center"/>
              <w:rPr>
                <w:rFonts w:ascii="Times New Roman" w:hAnsi="Times New Roman" w:cs="Times New Roman"/>
                <w:color w:val="auto"/>
                <w:sz w:val="24"/>
                <w:highlight w:val="none"/>
              </w:rPr>
            </w:pPr>
          </w:p>
        </w:tc>
        <w:tc>
          <w:tcPr>
            <w:tcW w:w="794" w:type="dxa"/>
            <w:shd w:val="clear" w:color="auto" w:fill="auto"/>
            <w:vAlign w:val="center"/>
          </w:tcPr>
          <w:p w14:paraId="1204E215">
            <w:pPr>
              <w:jc w:val="center"/>
              <w:rPr>
                <w:rFonts w:ascii="Times New Roman" w:hAnsi="Times New Roman" w:cs="Times New Roman"/>
                <w:color w:val="auto"/>
                <w:sz w:val="24"/>
                <w:highlight w:val="none"/>
              </w:rPr>
            </w:pPr>
          </w:p>
        </w:tc>
      </w:tr>
      <w:tr w14:paraId="587C8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1269" w:type="dxa"/>
            <w:shd w:val="clear" w:color="auto" w:fill="auto"/>
            <w:vAlign w:val="center"/>
          </w:tcPr>
          <w:p w14:paraId="6533899F">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合计</w:t>
            </w:r>
          </w:p>
        </w:tc>
        <w:tc>
          <w:tcPr>
            <w:tcW w:w="708" w:type="dxa"/>
            <w:shd w:val="clear" w:color="auto" w:fill="auto"/>
            <w:vAlign w:val="center"/>
          </w:tcPr>
          <w:p w14:paraId="1BC0CCC6">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5418" w:type="dxa"/>
            <w:gridSpan w:val="2"/>
            <w:shd w:val="clear" w:color="auto" w:fill="auto"/>
            <w:vAlign w:val="center"/>
          </w:tcPr>
          <w:p w14:paraId="331F501E">
            <w:pPr>
              <w:jc w:val="center"/>
              <w:rPr>
                <w:rFonts w:ascii="Times New Roman" w:hAnsi="Times New Roman" w:cs="Times New Roman"/>
                <w:color w:val="auto"/>
                <w:sz w:val="24"/>
                <w:highlight w:val="none"/>
              </w:rPr>
            </w:pPr>
          </w:p>
        </w:tc>
        <w:tc>
          <w:tcPr>
            <w:tcW w:w="909" w:type="dxa"/>
            <w:shd w:val="clear" w:color="auto" w:fill="auto"/>
            <w:vAlign w:val="center"/>
          </w:tcPr>
          <w:p w14:paraId="3C696CAD">
            <w:pPr>
              <w:jc w:val="center"/>
              <w:rPr>
                <w:rFonts w:ascii="Times New Roman" w:hAnsi="Times New Roman" w:cs="Times New Roman"/>
                <w:color w:val="auto"/>
                <w:sz w:val="24"/>
                <w:highlight w:val="none"/>
              </w:rPr>
            </w:pPr>
          </w:p>
        </w:tc>
        <w:tc>
          <w:tcPr>
            <w:tcW w:w="794" w:type="dxa"/>
            <w:shd w:val="clear" w:color="auto" w:fill="auto"/>
            <w:vAlign w:val="center"/>
          </w:tcPr>
          <w:p w14:paraId="64C8EAA9">
            <w:pPr>
              <w:jc w:val="center"/>
              <w:rPr>
                <w:rFonts w:ascii="Times New Roman" w:hAnsi="Times New Roman" w:cs="Times New Roman"/>
                <w:color w:val="auto"/>
                <w:sz w:val="24"/>
                <w:highlight w:val="none"/>
              </w:rPr>
            </w:pPr>
          </w:p>
        </w:tc>
      </w:tr>
      <w:tr w14:paraId="5B661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9098" w:type="dxa"/>
            <w:gridSpan w:val="6"/>
            <w:shd w:val="clear" w:color="auto" w:fill="auto"/>
            <w:vAlign w:val="center"/>
          </w:tcPr>
          <w:p w14:paraId="426BBCFC">
            <w:pP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评价意见（注明建议需要改进的意见）：</w:t>
            </w:r>
          </w:p>
          <w:p w14:paraId="13D3E17C">
            <w:pPr>
              <w:jc w:val="center"/>
              <w:rPr>
                <w:rFonts w:ascii="Times New Roman" w:hAnsi="Times New Roman" w:cs="Times New Roman"/>
                <w:color w:val="auto"/>
                <w:sz w:val="24"/>
                <w:highlight w:val="none"/>
              </w:rPr>
            </w:pPr>
          </w:p>
          <w:p w14:paraId="0DADE25A">
            <w:pPr>
              <w:jc w:val="center"/>
              <w:rPr>
                <w:rFonts w:ascii="Times New Roman" w:hAnsi="Times New Roman" w:cs="Times New Roman"/>
                <w:color w:val="auto"/>
                <w:sz w:val="24"/>
                <w:highlight w:val="none"/>
              </w:rPr>
            </w:pPr>
          </w:p>
          <w:p w14:paraId="59B8F1EF">
            <w:pP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评价单位（盖章）：</w:t>
            </w:r>
          </w:p>
        </w:tc>
      </w:tr>
    </w:tbl>
    <w:p w14:paraId="2E301724">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保险公司应成立本项目服务团队，负责协调承保、理赔、服务等相关事宜，服务团队下设组长1人、副组长1人、组员若干，小组组长由承保公司相关领导担任。 </w:t>
      </w:r>
    </w:p>
    <w:p w14:paraId="74D3BE9F">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保险公司应配备现场服务小组，定人定岗，专人专责，明确理赔程序及联系方式。 </w:t>
      </w:r>
    </w:p>
    <w:p w14:paraId="298DFD7D">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上述机构必须明示理赔人员，该人员如调动离岗，须于调动前三个工作日内告知被保险人接替人员联系方式。 </w:t>
      </w:r>
    </w:p>
    <w:p w14:paraId="6FCA0EF1">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保证快捷查勘现场，确定专业部门负责建筑工程一切险及第三者责任险、建工团意险、建工雇主险、建工安责险的现场查勘和定损。使用全国统一的客户服务专线电话，实行“724”式服务（7天24小时全程服务），包括保险报案、举报、投诉、咨询及预约投保等服务内容。安徽省内市区范围内出险40分钟内到达事故现场；四县范围内出险60分钟内到达事故现场，其他地区出险 90 分钟内到达事故现场。 </w:t>
      </w:r>
    </w:p>
    <w:p w14:paraId="52888FAE">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保险事故发生后，在理赔人员未到达现场之前，被保险人可根据实际情况立即进行抢修，理赔时以被保险人出险记录与现场图片为依据，不必保留现场。 </w:t>
      </w:r>
    </w:p>
    <w:p w14:paraId="60138CC2">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项目合同保额以甲方公司最终实际通知工程总价为准。</w:t>
      </w:r>
    </w:p>
    <w:p w14:paraId="416DC310">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保险公司在收到全部理赔资料后一个星期内支付理赔款。</w:t>
      </w:r>
    </w:p>
    <w:p w14:paraId="3674128E">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涉及省外项目的相关保险出单时间，不得超过7天。</w:t>
      </w:r>
    </w:p>
    <w:p w14:paraId="5C288A73">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建工安责险的赔付不以第三人是否赔付为前提要件，无论第三人是否赔偿，乙方须按责予以赔付。 </w:t>
      </w:r>
    </w:p>
    <w:p w14:paraId="018451A8">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不需要提供安全等行政主管部门出具的证明资料。  </w:t>
      </w:r>
    </w:p>
    <w:p w14:paraId="505E80F0">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甲方对事故发生是否存在过错不影响赔付金额。 </w:t>
      </w:r>
    </w:p>
    <w:p w14:paraId="2983B4F8">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不以第三人是否赔付为前提要件；无论甲方在赔付前或赔付后，乙方不要求受益人放弃或转移向第三人主张赔偿权利。</w:t>
      </w:r>
    </w:p>
    <w:p w14:paraId="075F4878">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凡年龄为16至65周岁、能够正常工作或劳动的属甲方单位管理的员工皆可作为本合同的被保险人，含甲方公司直接聘用的员工以及甲方公司的分包单位聘用的员工。</w:t>
      </w:r>
    </w:p>
    <w:p w14:paraId="32575FF9">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甲方聘用的员工及分包单位聘用的工人，其正常上下班且在遵守各项国家法规制度要求的情况下，非本人主要责任出现的意外，以及工作到家后的48小时内，若因工作性质方面的因素发生的意外，皆在保险范围内。在工作时间和工作场所内，因履行工作职责受到暴力伤害；因工外出期间，由于工作原因受到伤害或者发生事故下落不明的；在上下班途中，受到非本人主要责任的交通事故或者城市轨道交通、客运轮渡、火车事故伤害的；在工作时间和工作岗位，突发疾病死亡或者在48小时之内经抢救无效死亡的，皆在保险范围内。</w:t>
      </w:r>
    </w:p>
    <w:p w14:paraId="33FC3D37">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甲方聘用的员工及分包单位聘用的工人，遇发生事故（含交通事故）后，在任何合规合法的第三方鉴定机构或劳动部门、医院做的伤残鉴定，都应该予以认可。</w:t>
      </w:r>
    </w:p>
    <w:p w14:paraId="07715581">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建工团意险、建工雇主险（或建工安责险附加雇主责任）、建工安责险等三项险种死亡伤残赔付限额最高60万元/人，意外伤害医疗赔付最高赔付限额6万元/人，保险人认可的医疗机构诊疗所支出的必要合理的、符合当地社会医疗保险主管部门规定可报销的医疗费用，保险人每次理赔时在医疗保险金额范围内，扣除100元后按其实际支出的医疗费用的100%给付保险金。</w:t>
      </w:r>
    </w:p>
    <w:p w14:paraId="5FBAFB42">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在合同履行过程中，甲方在选择投保建工团意险、建工雇主险（或建工安责险附加雇主责任）、建工安责险时，三个险种的选择由甲方视生产经营情况需要进行采购，每个工程项目不限定只采购单个险种。</w:t>
      </w:r>
    </w:p>
    <w:p w14:paraId="334FF4BB">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所有险种伤残等级赔付不得低于十级10%，最次增高每级增加10%的标准。</w:t>
      </w:r>
    </w:p>
    <w:p w14:paraId="17C0AD28">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甲方购买保险的被保险人如因意外发生工伤，建工雇主险（或建工安责险附加雇主责任）、建工安责险的伤残等级由地方劳动人社部门出具的鉴定等级为准或由有资质的鉴定机构按照现行《劳动能力鉴定——职工工伤与职业病致残等级分级》（GB/T 16180）鉴定的伤残等级为准，保险公司应予以认可，并按谈判文件规定的伤残赔偿比例（附表）进行支付赔偿金。团体意外险的伤残等级适用中国保险行业协会、中国法医学会联合发布的人身保险伤残评定标准。</w:t>
      </w:r>
    </w:p>
    <w:p w14:paraId="3AA68615">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若被保险人有 2 份以上保险的，</w:t>
      </w:r>
      <w:r>
        <w:rPr>
          <w:rFonts w:hint="eastAsia" w:ascii="Times New Roman" w:hAnsi="Times New Roman" w:cs="Times New Roman"/>
          <w:color w:val="auto"/>
          <w:sz w:val="28"/>
          <w:szCs w:val="28"/>
          <w:highlight w:val="none"/>
          <w:lang w:val="en-US" w:eastAsia="zh-CN"/>
        </w:rPr>
        <w:t>乙</w:t>
      </w:r>
      <w:r>
        <w:rPr>
          <w:rFonts w:ascii="Times New Roman" w:hAnsi="Times New Roman" w:cs="Times New Roman"/>
          <w:color w:val="auto"/>
          <w:sz w:val="28"/>
          <w:szCs w:val="28"/>
          <w:highlight w:val="none"/>
        </w:rPr>
        <w:t>方保险理赔不以其他保险是否赔付作为理赔要件，即其他保险公司是否赔付或赔付的金额大小不影响</w:t>
      </w:r>
      <w:r>
        <w:rPr>
          <w:rFonts w:hint="eastAsia" w:ascii="Times New Roman" w:hAnsi="Times New Roman" w:cs="Times New Roman"/>
          <w:color w:val="auto"/>
          <w:sz w:val="28"/>
          <w:szCs w:val="28"/>
          <w:highlight w:val="none"/>
          <w:lang w:val="en-US" w:eastAsia="zh-CN"/>
        </w:rPr>
        <w:t>乙</w:t>
      </w:r>
      <w:r>
        <w:rPr>
          <w:rFonts w:ascii="Times New Roman" w:hAnsi="Times New Roman" w:cs="Times New Roman"/>
          <w:color w:val="auto"/>
          <w:sz w:val="28"/>
          <w:szCs w:val="28"/>
          <w:highlight w:val="none"/>
        </w:rPr>
        <w:t xml:space="preserve">方的赔付结果及金额。 </w:t>
      </w:r>
    </w:p>
    <w:p w14:paraId="3286EA26">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道路建筑工程一切险事故定损后，由甲方确定修理单位。如遇甲方确有困难时，</w:t>
      </w:r>
      <w:r>
        <w:rPr>
          <w:rFonts w:hint="eastAsia" w:ascii="Times New Roman" w:hAnsi="Times New Roman" w:cs="Times New Roman"/>
          <w:color w:val="auto"/>
          <w:sz w:val="28"/>
          <w:szCs w:val="28"/>
          <w:highlight w:val="none"/>
          <w:lang w:val="en-US" w:eastAsia="zh-CN"/>
        </w:rPr>
        <w:t>乙方应</w:t>
      </w:r>
      <w:r>
        <w:rPr>
          <w:rFonts w:ascii="Times New Roman" w:hAnsi="Times New Roman" w:cs="Times New Roman"/>
          <w:color w:val="auto"/>
          <w:sz w:val="28"/>
          <w:szCs w:val="28"/>
          <w:highlight w:val="none"/>
        </w:rPr>
        <w:t xml:space="preserve">积极协助甲方联系、落实修理单位。 </w:t>
      </w:r>
    </w:p>
    <w:p w14:paraId="6918482C">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优先安排查勘定损，快速理算赔付。对单证齐全的赔案，金额在50000元以下的，3个工作日内赔付；金额在50000元以上的（含50000元），5个工作日内赔付。</w:t>
      </w:r>
    </w:p>
    <w:p w14:paraId="58BAA107">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甲方在省外的工程项目，考虑到保险单出单时效及理赔服务质量等因素，要求在甲方公司注册地进行投保出单。</w:t>
      </w:r>
    </w:p>
    <w:p w14:paraId="6E436DD8">
      <w:pPr>
        <w:numPr>
          <w:ilvl w:val="0"/>
          <w:numId w:val="4"/>
        </w:numPr>
        <w:spacing w:line="520" w:lineRule="exact"/>
        <w:ind w:firstLine="562" w:firstLineChars="200"/>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在履约过程中如若其中一家服务商存在查勘不及时、定责不认责、核损不准确、赔付不到位、履约不完全等情况的，甲方有权利调整</w:t>
      </w:r>
      <w:r>
        <w:rPr>
          <w:rFonts w:hint="eastAsia" w:ascii="Times New Roman" w:hAnsi="Times New Roman" w:cs="Times New Roman"/>
          <w:b/>
          <w:bCs/>
          <w:color w:val="auto"/>
          <w:sz w:val="28"/>
          <w:szCs w:val="28"/>
          <w:highlight w:val="none"/>
          <w:lang w:val="en-US" w:eastAsia="zh-CN"/>
        </w:rPr>
        <w:t>其他</w:t>
      </w:r>
      <w:r>
        <w:rPr>
          <w:rFonts w:ascii="Times New Roman" w:hAnsi="Times New Roman" w:cs="Times New Roman"/>
          <w:b/>
          <w:bCs/>
          <w:color w:val="auto"/>
          <w:sz w:val="28"/>
          <w:szCs w:val="28"/>
          <w:highlight w:val="none"/>
        </w:rPr>
        <w:t>标包服务商替代其服务商资格并进行后续投保服务，同时承担因违约给甲方造成的一切损失。</w:t>
      </w:r>
    </w:p>
    <w:p w14:paraId="5C9CAAD3">
      <w:pPr>
        <w:numPr>
          <w:ilvl w:val="0"/>
          <w:numId w:val="4"/>
        </w:numPr>
        <w:spacing w:line="520" w:lineRule="exact"/>
        <w:ind w:firstLine="560" w:firstLineChars="2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eastAsia="zh-CN"/>
        </w:rPr>
        <w:t>乙方</w:t>
      </w:r>
      <w:r>
        <w:rPr>
          <w:rFonts w:ascii="Times New Roman" w:hAnsi="Times New Roman" w:cs="Times New Roman"/>
          <w:color w:val="auto"/>
          <w:sz w:val="28"/>
          <w:szCs w:val="28"/>
          <w:highlight w:val="none"/>
        </w:rPr>
        <w:t>须承保甲方项目发包的施工分包和劳务合作项目保险，承保费率按照成交方的费率下浮比例同比例下浮。涉及的工程类型有：养护工程、隧道工程、桥梁工程、道路工程、机电工程、交安工程、园林及道路绿化、预制工程、钢结构工程、光伏工程等施工分包或劳务合作工程，建工雇主险（或建工安责险）、建工团意险保险方案：保额人身伤亡赔偿限额60万元/人、意外医疗赔偿限额6万元/人；伤残等级赔付不得低于十级10%，最次增高每级增加10%的标准；单次发生2人（含2人）以下亡人事故后，不需要提供安全等行政主管部门出具的证明资料。甲方与分包公司联合投保，受益人为分包公司，保费由甲方代为支付。</w:t>
      </w:r>
    </w:p>
    <w:p w14:paraId="006A2CB9">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以上保险条款及费率，适用本公司所属其他子分公司。</w:t>
      </w:r>
    </w:p>
    <w:p w14:paraId="20673DF3">
      <w:pPr>
        <w:spacing w:line="520" w:lineRule="exact"/>
        <w:ind w:firstLine="560" w:firstLineChars="200"/>
        <w:rPr>
          <w:rFonts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二</w:t>
      </w:r>
      <w:r>
        <w:rPr>
          <w:rFonts w:hint="eastAsia" w:ascii="黑体" w:hAnsi="黑体" w:eastAsia="黑体" w:cs="Times New Roman"/>
          <w:color w:val="auto"/>
          <w:sz w:val="28"/>
          <w:szCs w:val="28"/>
          <w:highlight w:val="none"/>
        </w:rPr>
        <w:t xml:space="preserve">、付款方式： </w:t>
      </w:r>
    </w:p>
    <w:p w14:paraId="4AC4DB9A">
      <w:pPr>
        <w:spacing w:line="520" w:lineRule="exact"/>
        <w:ind w:firstLine="560" w:firstLineChars="200"/>
        <w:rPr>
          <w:rFonts w:hint="eastAsia" w:ascii="Times New Roman" w:hAnsi="Times New Roman" w:cs="Times New Roman"/>
          <w:color w:val="auto"/>
          <w:sz w:val="28"/>
          <w:szCs w:val="28"/>
          <w:highlight w:val="none"/>
          <w:lang w:eastAsia="zh-CN"/>
        </w:rPr>
      </w:pPr>
      <w:r>
        <w:rPr>
          <w:rFonts w:hint="eastAsia" w:ascii="Times New Roman" w:hAnsi="Times New Roman" w:cs="Times New Roman"/>
          <w:color w:val="auto"/>
          <w:sz w:val="28"/>
          <w:szCs w:val="28"/>
          <w:highlight w:val="none"/>
          <w:lang w:eastAsia="zh-CN"/>
        </w:rPr>
        <w:t>合同签订后，</w:t>
      </w:r>
      <w:r>
        <w:rPr>
          <w:rFonts w:ascii="Times New Roman" w:hAnsi="Times New Roman" w:cs="Times New Roman"/>
          <w:color w:val="auto"/>
          <w:sz w:val="28"/>
          <w:szCs w:val="28"/>
          <w:highlight w:val="none"/>
        </w:rPr>
        <w:t>甲方</w:t>
      </w:r>
      <w:r>
        <w:rPr>
          <w:rFonts w:hint="eastAsia" w:ascii="Times New Roman" w:hAnsi="Times New Roman" w:cs="Times New Roman"/>
          <w:color w:val="auto"/>
          <w:sz w:val="28"/>
          <w:szCs w:val="28"/>
          <w:highlight w:val="none"/>
          <w:lang w:eastAsia="zh-CN"/>
        </w:rPr>
        <w:t>在支付单个投保项目全额保费情况下，涉及保费分期的按照主管部门下发的政策文件执行，乙方在收到保费后出具并开具发票。</w:t>
      </w:r>
    </w:p>
    <w:p w14:paraId="1105E4C4">
      <w:pPr>
        <w:spacing w:line="520" w:lineRule="exact"/>
        <w:ind w:firstLine="560" w:firstLineChars="200"/>
        <w:rPr>
          <w:rFonts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三</w:t>
      </w:r>
      <w:r>
        <w:rPr>
          <w:rFonts w:hint="eastAsia" w:ascii="黑体" w:hAnsi="黑体" w:eastAsia="黑体" w:cs="Times New Roman"/>
          <w:color w:val="auto"/>
          <w:sz w:val="28"/>
          <w:szCs w:val="28"/>
          <w:highlight w:val="none"/>
        </w:rPr>
        <w:t>、甲方承诺</w:t>
      </w:r>
    </w:p>
    <w:p w14:paraId="0294EF82">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1.向乙方提供投保本项目的基本信息情况及所需材料。 </w:t>
      </w:r>
    </w:p>
    <w:p w14:paraId="5B5E7111">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2.加强对本单位施工人员的安全施工教育和管理。</w:t>
      </w:r>
    </w:p>
    <w:p w14:paraId="5E466EEE">
      <w:pPr>
        <w:spacing w:line="520" w:lineRule="exact"/>
        <w:ind w:firstLine="560" w:firstLineChars="200"/>
        <w:rPr>
          <w:rFonts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四</w:t>
      </w:r>
      <w:r>
        <w:rPr>
          <w:rFonts w:hint="eastAsia" w:ascii="黑体" w:hAnsi="黑体" w:eastAsia="黑体" w:cs="Times New Roman"/>
          <w:color w:val="auto"/>
          <w:sz w:val="28"/>
          <w:szCs w:val="28"/>
          <w:highlight w:val="none"/>
        </w:rPr>
        <w:t xml:space="preserve">、乙方承诺： </w:t>
      </w:r>
    </w:p>
    <w:p w14:paraId="04966D8A">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1.派专人负责与甲方确认送达保险单证。 </w:t>
      </w:r>
    </w:p>
    <w:p w14:paraId="0D52F6FB">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2.保证快捷查勘现场，确定专业部门负责现场查勘和定损。使用全国统一的客户服务专线电话，实行“724”式服务（7天24小时全程服务），包括保险报案、举报、投诉、咨询及预约投保等服务内容。安徽省内市区范围内出险40分钟内到达事故现场；合肥四县范围内出险 60 分钟内到达事故现场，其他地区出险 90分钟内到达事故现场。 </w:t>
      </w:r>
    </w:p>
    <w:p w14:paraId="79A173ED">
      <w:pPr>
        <w:spacing w:line="520" w:lineRule="exact"/>
        <w:ind w:firstLine="560" w:firstLineChars="200"/>
        <w:rPr>
          <w:rFonts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五</w:t>
      </w:r>
      <w:r>
        <w:rPr>
          <w:rFonts w:hint="eastAsia" w:ascii="黑体" w:hAnsi="黑体" w:eastAsia="黑体" w:cs="Times New Roman"/>
          <w:color w:val="auto"/>
          <w:sz w:val="28"/>
          <w:szCs w:val="28"/>
          <w:highlight w:val="none"/>
        </w:rPr>
        <w:t>、</w:t>
      </w:r>
      <w:r>
        <w:rPr>
          <w:rFonts w:hint="eastAsia" w:ascii="黑体" w:hAnsi="黑体" w:eastAsia="黑体" w:cs="Times New Roman"/>
          <w:color w:val="auto"/>
          <w:sz w:val="28"/>
          <w:szCs w:val="28"/>
          <w:highlight w:val="none"/>
          <w:lang w:val="en-US" w:eastAsia="zh-CN"/>
        </w:rPr>
        <w:t>丙</w:t>
      </w:r>
      <w:r>
        <w:rPr>
          <w:rFonts w:hint="eastAsia" w:ascii="黑体" w:hAnsi="黑体" w:eastAsia="黑体" w:cs="Times New Roman"/>
          <w:color w:val="auto"/>
          <w:sz w:val="28"/>
          <w:szCs w:val="28"/>
          <w:highlight w:val="none"/>
        </w:rPr>
        <w:t>方承诺</w:t>
      </w:r>
    </w:p>
    <w:p w14:paraId="7F225E62">
      <w:pPr>
        <w:spacing w:line="520" w:lineRule="exact"/>
        <w:ind w:firstLine="560" w:firstLineChars="20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1.借助专业的保险知识和技能，及时向甲方提供咨询和建议，帮助甲方了解保险产品的条款、保障范围和费用，并解答甲方对保险的疑问，帮助甲方做出明智的保险选择。</w:t>
      </w:r>
    </w:p>
    <w:p w14:paraId="4B6A9C0A">
      <w:pPr>
        <w:spacing w:line="520" w:lineRule="exact"/>
        <w:ind w:firstLine="560" w:firstLineChars="20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2.与甲乙双方保持密切联系，跟踪甲方的保险需求和变化，及时提供更新的保险解决方案，并负责处理甲方的保险索赔，协助甲方解决与保险公司的沟通问题，确保甲方的各项理赔案件赔付及时。</w:t>
      </w:r>
    </w:p>
    <w:p w14:paraId="2255BEB1">
      <w:pPr>
        <w:spacing w:line="520" w:lineRule="exact"/>
        <w:ind w:firstLine="560" w:firstLineChars="2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3.根据甲方的实际需要，及时为甲方提供满足要求的保险公司。</w:t>
      </w:r>
    </w:p>
    <w:p w14:paraId="6405120D">
      <w:pPr>
        <w:spacing w:line="520" w:lineRule="exact"/>
        <w:ind w:firstLine="560" w:firstLineChars="200"/>
        <w:rPr>
          <w:rFonts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六</w:t>
      </w:r>
      <w:r>
        <w:rPr>
          <w:rFonts w:ascii="黑体" w:hAnsi="黑体" w:eastAsia="黑体" w:cs="Times New Roman"/>
          <w:color w:val="auto"/>
          <w:sz w:val="28"/>
          <w:szCs w:val="28"/>
          <w:highlight w:val="none"/>
        </w:rPr>
        <w:t>、解决合同纠纷的方式</w:t>
      </w:r>
    </w:p>
    <w:p w14:paraId="2E113C9A">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甲乙</w:t>
      </w:r>
      <w:r>
        <w:rPr>
          <w:rFonts w:hint="eastAsia" w:ascii="Times New Roman" w:hAnsi="Times New Roman" w:cs="Times New Roman"/>
          <w:color w:val="auto"/>
          <w:sz w:val="28"/>
          <w:szCs w:val="28"/>
          <w:highlight w:val="none"/>
          <w:lang w:val="en-US" w:eastAsia="zh-CN"/>
        </w:rPr>
        <w:t>丙三</w:t>
      </w:r>
      <w:r>
        <w:rPr>
          <w:rFonts w:ascii="Times New Roman" w:hAnsi="Times New Roman" w:cs="Times New Roman"/>
          <w:color w:val="auto"/>
          <w:sz w:val="28"/>
          <w:szCs w:val="28"/>
          <w:highlight w:val="none"/>
        </w:rPr>
        <w:t xml:space="preserve">方协商一致解决，协商不成的向甲方当地人民法院提出诉讼。 </w:t>
      </w:r>
    </w:p>
    <w:p w14:paraId="4BF79F74">
      <w:pPr>
        <w:spacing w:line="520" w:lineRule="exact"/>
        <w:ind w:firstLine="560" w:firstLineChars="200"/>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七</w:t>
      </w:r>
      <w:r>
        <w:rPr>
          <w:rFonts w:hint="eastAsia" w:ascii="黑体" w:hAnsi="黑体" w:eastAsia="黑体" w:cs="Times New Roman"/>
          <w:color w:val="auto"/>
          <w:sz w:val="28"/>
          <w:szCs w:val="28"/>
          <w:highlight w:val="none"/>
        </w:rPr>
        <w:t>、消保条款</w:t>
      </w:r>
    </w:p>
    <w:p w14:paraId="0537B24A">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乙丙双方在履行本协议的过程中，应当遵守国家法律法规和国家金融监管总局及其派出机构关于消费者权益保护的有关规定，充分保障消费者财产安全权、知情权、自主选择权、公平交易权、依法求偿权、受教育权、受尊重权、信息安全权等基本权利。双方可将消费者权益保护工作的落实情况及对消费投诉处理工作的配合情况作为合作准入、清退的条件。</w:t>
      </w:r>
    </w:p>
    <w:p w14:paraId="178A8851">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乙丙双方应严格规范服务行为，充分进行服务信息披露，保障消费者的知情权、自主选择权和公平交易权。丙方应以清晰和通俗的语言向消费者说明服务的关键信息和风险，不得进行夸大、虚假宣传或引人误解的宣传。</w:t>
      </w:r>
    </w:p>
    <w:p w14:paraId="12C33216">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3.丙方在提供服务的过程中，不得擅自以甲方名义向消费者推介或销售产品或服务，不得以乙方名义向客户收取任何费用，双方另有约定的除外。</w:t>
      </w:r>
    </w:p>
    <w:p w14:paraId="4BA30018">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丙方应确保服务的连续性，不得违法违规或违反双方约定中止服务。在符合法律法规规定、监管要求和乙丙双方约定的情况下导致服务中止时，应及时通知乙方，并提供解决方案，确保服务连续性，否则由丙方承担一切后果和责任，若造成乙方和乙方消费者损失，由丙方承担赔偿责任，法律法规和监管另有规定的除外。</w:t>
      </w:r>
    </w:p>
    <w:p w14:paraId="711B8CFC">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5.丙方应在提供服务时，向消费者明示服务电话及投诉受理渠道。乙方设立客户服务/投诉热线（电话号码：</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，7*24小时服务），受理消费者咨询、投诉等问题。乙丙双方应积极处理消费者的咨询、投诉和争议问题，并根据消费者投诉反映出的问题积极进行溯源改进，提高服务水平。</w:t>
      </w:r>
    </w:p>
    <w:p w14:paraId="4545E0F0">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当丙方出现涉及甲方的重大消费投诉时，丙方须在24小时内通知乙方，并在第一时间积极处理，乙丙双方积极配合开展事件的调查和处置，防止事态进一步恶化。同时要及时、妥善处理应急突发事件，防范负面舆情引发的声誉风险。</w:t>
      </w:r>
    </w:p>
    <w:p w14:paraId="3FDE04DB">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7.乙方有权在乙丙双方合作期间对丙方消费者权益保护相关工作以及本协议的履行情况进行不定期的监督、检查，丙方应予以配合。如发现丙方存在侵害消费者权益的相关问题及风险，或其他违反本协议情形的，丙方应及时整改处理，并向乙方反馈相关整改结果。乙丙将丙方的配合情况纳入后续合作的准入标准。若丙方出现严重侵害消费者合法权益的问题，乙丙有权终止合作并将丙方列入禁止合作机构名单。</w:t>
      </w:r>
    </w:p>
    <w:p w14:paraId="726AFE91">
      <w:pPr>
        <w:spacing w:line="520" w:lineRule="exact"/>
        <w:ind w:firstLine="560" w:firstLineChars="200"/>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rPr>
        <w:t>【客户信息保护条款】</w:t>
      </w:r>
    </w:p>
    <w:p w14:paraId="436FD242">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1.丙方应建立有效的客户信息安全保护管理制度和技术手段，履行完全和严格的保密义务以及其他客户信息保护责任，严禁违规查询、下载、复制、保存、滥用、泄漏、出售个人信息。</w:t>
      </w:r>
    </w:p>
    <w:p w14:paraId="30D8849B">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2.乙方按照适用的数据保护法规定应进行个人信息安全影响评估的，丙方应根据甲方的要求提供必要的协助并保证其陈述真实有效。</w:t>
      </w:r>
    </w:p>
    <w:p w14:paraId="0753D6C3">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3.未经乙方事先书面同意，丙方不得分包或转包其任何处理个人信息的权利或义务。</w:t>
      </w:r>
    </w:p>
    <w:p w14:paraId="6CC55EFD">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4.丙方及其分包、转包商的员工，应认真遵守个人信息保护相关法律、法规和与甲方的相关约定，不刺探与岗位或本身工作无关的个人信息，履行保密职责。</w:t>
      </w:r>
    </w:p>
    <w:p w14:paraId="1094A4B1">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5.丙方应在实现个人信息处理目的或在终止与甲方的合作后，或根据甲方的要求，及时删除、销毁或匿名化处理个人信息。</w:t>
      </w:r>
    </w:p>
    <w:p w14:paraId="48DC2311">
      <w:pPr>
        <w:spacing w:line="520" w:lineRule="exact"/>
        <w:ind w:firstLine="560" w:firstLineChars="200"/>
        <w:rPr>
          <w:rFonts w:hint="eastAsia" w:ascii="黑体" w:hAnsi="黑体" w:eastAsia="黑体" w:cs="Times New Roman"/>
          <w:color w:val="auto"/>
          <w:sz w:val="28"/>
          <w:szCs w:val="28"/>
          <w:highlight w:val="none"/>
        </w:rPr>
      </w:pPr>
      <w:r>
        <w:rPr>
          <w:rFonts w:hint="default" w:ascii="Times New Roman" w:hAnsi="Times New Roman" w:cs="Times New Roman"/>
          <w:color w:val="auto"/>
          <w:sz w:val="28"/>
          <w:szCs w:val="28"/>
          <w:highlight w:val="none"/>
        </w:rPr>
        <w:t>6.本协议终止时，如基于本协议开展的数据处理活动尚未完成，则本协议项下客户信息保护条款对乙丙双方仍具有约束力，直至数据处理活动完成</w:t>
      </w:r>
      <w:r>
        <w:rPr>
          <w:rFonts w:hint="eastAsia" w:ascii="黑体" w:hAnsi="黑体" w:eastAsia="黑体" w:cs="Times New Roman"/>
          <w:color w:val="auto"/>
          <w:sz w:val="28"/>
          <w:szCs w:val="28"/>
          <w:highlight w:val="none"/>
        </w:rPr>
        <w:t xml:space="preserve">之时。 </w:t>
      </w:r>
    </w:p>
    <w:p w14:paraId="1497D4FF">
      <w:pPr>
        <w:spacing w:line="520" w:lineRule="exact"/>
        <w:ind w:firstLine="560" w:firstLineChars="200"/>
        <w:rPr>
          <w:rFonts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八</w:t>
      </w:r>
      <w:r>
        <w:rPr>
          <w:rFonts w:hint="eastAsia" w:ascii="黑体" w:hAnsi="黑体" w:eastAsia="黑体" w:cs="Times New Roman"/>
          <w:color w:val="auto"/>
          <w:sz w:val="28"/>
          <w:szCs w:val="28"/>
          <w:highlight w:val="none"/>
        </w:rPr>
        <w:t xml:space="preserve">、合同时效： </w:t>
      </w:r>
    </w:p>
    <w:p w14:paraId="7924F0CE">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其它未尽事宜，甲</w:t>
      </w:r>
      <w:r>
        <w:rPr>
          <w:rFonts w:hint="eastAsia" w:ascii="Times New Roman" w:hAnsi="Times New Roman" w:cs="Times New Roman"/>
          <w:color w:val="auto"/>
          <w:sz w:val="28"/>
          <w:szCs w:val="28"/>
          <w:highlight w:val="none"/>
        </w:rPr>
        <w:t>乙丙三</w:t>
      </w:r>
      <w:r>
        <w:rPr>
          <w:rFonts w:ascii="Times New Roman" w:hAnsi="Times New Roman" w:cs="Times New Roman"/>
          <w:color w:val="auto"/>
          <w:sz w:val="28"/>
          <w:szCs w:val="28"/>
          <w:highlight w:val="none"/>
        </w:rPr>
        <w:t>方本着互谅互让的原则，共同协商解决。本合同有效期一年，截止日为202</w:t>
      </w:r>
      <w:r>
        <w:rPr>
          <w:rFonts w:hint="eastAsia" w:ascii="Times New Roman" w:hAnsi="Times New Roman" w:cs="Times New Roman"/>
          <w:color w:val="auto"/>
          <w:sz w:val="28"/>
          <w:szCs w:val="28"/>
          <w:highlight w:val="none"/>
          <w:lang w:val="en-US" w:eastAsia="zh-CN"/>
        </w:rPr>
        <w:t>6</w:t>
      </w:r>
      <w:r>
        <w:rPr>
          <w:rFonts w:ascii="Times New Roman" w:hAnsi="Times New Roman" w:cs="Times New Roman"/>
          <w:color w:val="auto"/>
          <w:sz w:val="28"/>
          <w:szCs w:val="28"/>
          <w:highlight w:val="none"/>
        </w:rPr>
        <w:t>年</w:t>
      </w:r>
      <w:r>
        <w:rPr>
          <w:rFonts w:hint="eastAsia" w:ascii="Times New Roman" w:hAnsi="Times New Roman" w:cs="Times New Roman"/>
          <w:color w:val="auto"/>
          <w:sz w:val="28"/>
          <w:szCs w:val="28"/>
          <w:highlight w:val="none"/>
          <w:lang w:val="en-US" w:eastAsia="zh-CN"/>
        </w:rPr>
        <w:t>**</w:t>
      </w:r>
      <w:r>
        <w:rPr>
          <w:rFonts w:ascii="Times New Roman" w:hAnsi="Times New Roman" w:cs="Times New Roman"/>
          <w:color w:val="auto"/>
          <w:sz w:val="28"/>
          <w:szCs w:val="28"/>
          <w:highlight w:val="none"/>
        </w:rPr>
        <w:t>月</w:t>
      </w:r>
      <w:r>
        <w:rPr>
          <w:rFonts w:hint="eastAsia" w:ascii="Times New Roman" w:hAnsi="Times New Roman" w:cs="Times New Roman"/>
          <w:color w:val="auto"/>
          <w:sz w:val="28"/>
          <w:szCs w:val="28"/>
          <w:highlight w:val="none"/>
          <w:lang w:val="en-US" w:eastAsia="zh-CN"/>
        </w:rPr>
        <w:t>**</w:t>
      </w:r>
      <w:r>
        <w:rPr>
          <w:rFonts w:ascii="Times New Roman" w:hAnsi="Times New Roman" w:cs="Times New Roman"/>
          <w:color w:val="auto"/>
          <w:sz w:val="28"/>
          <w:szCs w:val="28"/>
          <w:highlight w:val="none"/>
        </w:rPr>
        <w:t>日，一式</w:t>
      </w:r>
      <w:r>
        <w:rPr>
          <w:rFonts w:hint="eastAsia" w:ascii="Times New Roman" w:hAnsi="Times New Roman" w:cs="Times New Roman"/>
          <w:color w:val="auto"/>
          <w:sz w:val="28"/>
          <w:szCs w:val="28"/>
          <w:highlight w:val="none"/>
          <w:lang w:val="en-US" w:eastAsia="zh-CN"/>
        </w:rPr>
        <w:t>三</w:t>
      </w:r>
      <w:r>
        <w:rPr>
          <w:rFonts w:ascii="Times New Roman" w:hAnsi="Times New Roman" w:cs="Times New Roman"/>
          <w:color w:val="auto"/>
          <w:sz w:val="28"/>
          <w:szCs w:val="28"/>
          <w:highlight w:val="none"/>
        </w:rPr>
        <w:t>份，具有同等的法律效力。甲乙</w:t>
      </w:r>
      <w:r>
        <w:rPr>
          <w:rFonts w:hint="eastAsia" w:ascii="Times New Roman" w:hAnsi="Times New Roman" w:cs="Times New Roman"/>
          <w:color w:val="auto"/>
          <w:sz w:val="28"/>
          <w:szCs w:val="28"/>
          <w:highlight w:val="none"/>
          <w:lang w:val="en-US" w:eastAsia="zh-CN"/>
        </w:rPr>
        <w:t>丙三</w:t>
      </w:r>
      <w:r>
        <w:rPr>
          <w:rFonts w:ascii="Times New Roman" w:hAnsi="Times New Roman" w:cs="Times New Roman"/>
          <w:color w:val="auto"/>
          <w:sz w:val="28"/>
          <w:szCs w:val="28"/>
          <w:highlight w:val="none"/>
        </w:rPr>
        <w:t>方各执一份，自</w:t>
      </w:r>
      <w:r>
        <w:rPr>
          <w:rFonts w:hint="eastAsia" w:ascii="Times New Roman" w:hAnsi="Times New Roman" w:cs="Times New Roman"/>
          <w:color w:val="auto"/>
          <w:sz w:val="28"/>
          <w:szCs w:val="28"/>
          <w:highlight w:val="none"/>
          <w:lang w:val="en-US" w:eastAsia="zh-CN"/>
        </w:rPr>
        <w:t>三</w:t>
      </w:r>
      <w:r>
        <w:rPr>
          <w:rFonts w:ascii="Times New Roman" w:hAnsi="Times New Roman" w:cs="Times New Roman"/>
          <w:color w:val="auto"/>
          <w:sz w:val="28"/>
          <w:szCs w:val="28"/>
          <w:highlight w:val="none"/>
        </w:rPr>
        <w:t>方签字盖章之日起生效。 合同到期后，根据考核结果决定是否续约。</w:t>
      </w:r>
    </w:p>
    <w:p w14:paraId="4F8958CD">
      <w:pPr>
        <w:spacing w:line="520" w:lineRule="exact"/>
        <w:ind w:firstLine="560" w:firstLineChars="200"/>
        <w:rPr>
          <w:rFonts w:ascii="Times New Roman" w:hAnsi="Times New Roman" w:cs="Times New Roman"/>
          <w:color w:val="auto"/>
          <w:sz w:val="28"/>
          <w:szCs w:val="28"/>
          <w:highlight w:val="none"/>
        </w:rPr>
      </w:pPr>
    </w:p>
    <w:tbl>
      <w:tblPr>
        <w:tblStyle w:val="32"/>
        <w:tblW w:w="957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A58D82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85" w:type="dxa"/>
          </w:tcPr>
          <w:p w14:paraId="1FEE16AB">
            <w:pPr>
              <w:spacing w:line="560" w:lineRule="exact"/>
              <w:ind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甲方：</w:t>
            </w:r>
            <w:r>
              <w:rPr>
                <w:rFonts w:hint="eastAsia" w:ascii="Times New Roman" w:hAnsi="Times New Roman" w:cs="Times New Roman"/>
                <w:color w:val="auto"/>
                <w:sz w:val="28"/>
                <w:szCs w:val="28"/>
                <w:highlight w:val="none"/>
              </w:rPr>
              <w:t>安徽交控工程集团有限公司</w:t>
            </w:r>
            <w:r>
              <w:rPr>
                <w:rFonts w:ascii="Times New Roman" w:hAnsi="Times New Roman" w:cs="Times New Roman"/>
                <w:color w:val="auto"/>
                <w:sz w:val="28"/>
                <w:szCs w:val="28"/>
                <w:highlight w:val="none"/>
              </w:rPr>
              <w:t>（盖章）</w:t>
            </w:r>
          </w:p>
          <w:p w14:paraId="18B68C8A">
            <w:pPr>
              <w:spacing w:line="560" w:lineRule="exact"/>
              <w:ind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法定代表人（或授权委托人）签字：</w:t>
            </w:r>
          </w:p>
          <w:p w14:paraId="09C377FD">
            <w:pPr>
              <w:spacing w:line="560" w:lineRule="exact"/>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 xml:space="preserve">签订日期：    </w:t>
            </w:r>
            <w:r>
              <w:rPr>
                <w:rFonts w:ascii="Times New Roman" w:hAnsi="Times New Roman" w:cs="Times New Roman"/>
                <w:color w:val="auto"/>
                <w:sz w:val="28"/>
                <w:szCs w:val="28"/>
                <w:highlight w:val="none"/>
              </w:rPr>
              <w:t>年    月    日</w:t>
            </w:r>
          </w:p>
        </w:tc>
        <w:tc>
          <w:tcPr>
            <w:tcW w:w="4785" w:type="dxa"/>
          </w:tcPr>
          <w:p w14:paraId="4B4FF389">
            <w:pPr>
              <w:spacing w:line="560" w:lineRule="exact"/>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乙</w:t>
            </w:r>
            <w:r>
              <w:rPr>
                <w:rFonts w:ascii="Times New Roman" w:hAnsi="Times New Roman" w:cs="Times New Roman"/>
                <w:color w:val="auto"/>
                <w:sz w:val="28"/>
                <w:szCs w:val="28"/>
                <w:highlight w:val="none"/>
              </w:rPr>
              <w:t>方：</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w:t>
            </w:r>
            <w:r>
              <w:rPr>
                <w:rFonts w:ascii="Times New Roman" w:hAnsi="Times New Roman" w:cs="Times New Roman"/>
                <w:color w:val="auto"/>
                <w:sz w:val="28"/>
                <w:szCs w:val="28"/>
                <w:highlight w:val="none"/>
              </w:rPr>
              <w:t>（盖章）</w:t>
            </w:r>
          </w:p>
          <w:p w14:paraId="154AF0A6">
            <w:pPr>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法定代表人（或授权委托人）签字：</w:t>
            </w:r>
          </w:p>
          <w:p w14:paraId="56572068">
            <w:pPr>
              <w:spacing w:line="560" w:lineRule="exact"/>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 xml:space="preserve">签订日期：    </w:t>
            </w:r>
            <w:r>
              <w:rPr>
                <w:rFonts w:ascii="Times New Roman" w:hAnsi="Times New Roman" w:cs="Times New Roman"/>
                <w:color w:val="auto"/>
                <w:sz w:val="28"/>
                <w:szCs w:val="28"/>
                <w:highlight w:val="none"/>
              </w:rPr>
              <w:t>年    月    日</w:t>
            </w:r>
          </w:p>
        </w:tc>
      </w:tr>
    </w:tbl>
    <w:p w14:paraId="02FAC8D2">
      <w:pPr>
        <w:rPr>
          <w:rFonts w:ascii="Times New Roman" w:hAnsi="Times New Roman" w:cs="Times New Roman"/>
          <w:color w:val="auto"/>
          <w:sz w:val="28"/>
          <w:szCs w:val="28"/>
          <w:highlight w:val="none"/>
        </w:rPr>
      </w:pPr>
    </w:p>
    <w:p w14:paraId="3424B5BC">
      <w:pPr>
        <w:widowControl/>
        <w:jc w:val="left"/>
        <w:rPr>
          <w:rFonts w:ascii="Times New Roman" w:hAnsi="Times New Roman" w:cs="Times New Roman"/>
          <w:color w:val="auto"/>
          <w:sz w:val="28"/>
          <w:szCs w:val="28"/>
          <w:highlight w:val="none"/>
        </w:rPr>
      </w:pPr>
    </w:p>
    <w:tbl>
      <w:tblPr>
        <w:tblStyle w:val="32"/>
        <w:tblW w:w="957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05AEC35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85" w:type="dxa"/>
          </w:tcPr>
          <w:p w14:paraId="4AA527F1">
            <w:pPr>
              <w:spacing w:line="560" w:lineRule="exact"/>
              <w:ind w:firstLine="0" w:firstLineChars="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丙</w:t>
            </w:r>
            <w:r>
              <w:rPr>
                <w:rFonts w:ascii="Times New Roman" w:hAnsi="Times New Roman" w:cs="Times New Roman"/>
                <w:color w:val="auto"/>
                <w:sz w:val="28"/>
                <w:szCs w:val="28"/>
                <w:highlight w:val="none"/>
              </w:rPr>
              <w:t>方：</w:t>
            </w:r>
            <w:r>
              <w:rPr>
                <w:rFonts w:hint="eastAsia" w:ascii="Times New Roman" w:hAnsi="Times New Roman" w:cs="Times New Roman"/>
                <w:color w:val="auto"/>
                <w:sz w:val="28"/>
                <w:szCs w:val="28"/>
                <w:highlight w:val="none"/>
              </w:rPr>
              <w:t>安徽皖运保险代理有限公司</w:t>
            </w:r>
            <w:r>
              <w:rPr>
                <w:rFonts w:ascii="Times New Roman" w:hAnsi="Times New Roman" w:cs="Times New Roman"/>
                <w:color w:val="auto"/>
                <w:sz w:val="28"/>
                <w:szCs w:val="28"/>
                <w:highlight w:val="none"/>
              </w:rPr>
              <w:t>（盖章）</w:t>
            </w:r>
          </w:p>
          <w:p w14:paraId="658D161D">
            <w:pPr>
              <w:spacing w:line="560" w:lineRule="exact"/>
              <w:ind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法定代表人（或授权委托人）签字：</w:t>
            </w:r>
          </w:p>
          <w:p w14:paraId="0560B564">
            <w:pPr>
              <w:spacing w:line="560" w:lineRule="exact"/>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 xml:space="preserve">签订日期：    </w:t>
            </w:r>
            <w:r>
              <w:rPr>
                <w:rFonts w:ascii="Times New Roman" w:hAnsi="Times New Roman" w:cs="Times New Roman"/>
                <w:color w:val="auto"/>
                <w:sz w:val="28"/>
                <w:szCs w:val="28"/>
                <w:highlight w:val="none"/>
              </w:rPr>
              <w:t>年    月    日</w:t>
            </w:r>
          </w:p>
        </w:tc>
        <w:tc>
          <w:tcPr>
            <w:tcW w:w="4785" w:type="dxa"/>
          </w:tcPr>
          <w:p w14:paraId="33E6B42F">
            <w:pPr>
              <w:spacing w:line="560" w:lineRule="exact"/>
              <w:rPr>
                <w:rFonts w:ascii="Times New Roman" w:hAnsi="Times New Roman" w:cs="Times New Roman"/>
                <w:color w:val="auto"/>
                <w:sz w:val="28"/>
                <w:szCs w:val="28"/>
                <w:highlight w:val="none"/>
              </w:rPr>
            </w:pPr>
          </w:p>
        </w:tc>
      </w:tr>
    </w:tbl>
    <w:p w14:paraId="485D2F29">
      <w:pPr>
        <w:spacing w:line="560" w:lineRule="exact"/>
        <w:ind w:firstLine="562" w:firstLineChars="200"/>
        <w:jc w:val="left"/>
        <w:rPr>
          <w:rFonts w:hint="eastAsia" w:asciiTheme="minorEastAsia" w:hAnsiTheme="minorEastAsia" w:cstheme="minorEastAsia"/>
          <w:b/>
          <w:bCs/>
          <w:color w:val="auto"/>
          <w:kern w:val="0"/>
          <w:sz w:val="28"/>
          <w:szCs w:val="28"/>
          <w:highlight w:val="none"/>
          <w:lang w:bidi="ar"/>
        </w:rPr>
      </w:pPr>
    </w:p>
    <w:p w14:paraId="2369A586">
      <w:pPr>
        <w:spacing w:line="560" w:lineRule="exact"/>
        <w:ind w:firstLine="562" w:firstLineChars="200"/>
        <w:jc w:val="left"/>
        <w:rPr>
          <w:rFonts w:hint="eastAsia" w:asciiTheme="minorEastAsia" w:hAnsiTheme="minorEastAsia" w:cstheme="minorEastAsia"/>
          <w:b/>
          <w:color w:val="auto"/>
          <w:sz w:val="28"/>
          <w:szCs w:val="28"/>
          <w:highlight w:val="none"/>
        </w:rPr>
      </w:pPr>
      <w:r>
        <w:rPr>
          <w:rFonts w:hint="eastAsia" w:asciiTheme="minorEastAsia" w:hAnsiTheme="minorEastAsia" w:cstheme="minorEastAsia"/>
          <w:b/>
          <w:bCs/>
          <w:color w:val="auto"/>
          <w:kern w:val="0"/>
          <w:sz w:val="28"/>
          <w:szCs w:val="28"/>
          <w:highlight w:val="none"/>
          <w:lang w:bidi="ar"/>
        </w:rPr>
        <w:t>备注：具体合同格式按照安徽交控工程集团有限公司统一合同格式编写，正式合同签订时需附相关保险条款作为合同附件，合同样本将于定标后由采购人提供给中标人。</w:t>
      </w:r>
    </w:p>
    <w:p w14:paraId="3C9CB325">
      <w:pPr>
        <w:pStyle w:val="91"/>
        <w:widowControl w:val="0"/>
        <w:ind w:firstLine="0"/>
        <w:jc w:val="center"/>
        <w:rPr>
          <w:rFonts w:hint="eastAsia" w:asciiTheme="minorEastAsia" w:hAnsiTheme="minorEastAsia" w:cstheme="minorEastAsia"/>
          <w:b/>
          <w:color w:val="auto"/>
          <w:sz w:val="28"/>
          <w:szCs w:val="28"/>
          <w:highlight w:val="none"/>
        </w:rPr>
      </w:pPr>
    </w:p>
    <w:p w14:paraId="015B1EF8">
      <w:pPr>
        <w:pStyle w:val="91"/>
        <w:widowControl w:val="0"/>
        <w:ind w:firstLine="0"/>
        <w:jc w:val="center"/>
        <w:rPr>
          <w:rFonts w:hint="eastAsia" w:asciiTheme="minorEastAsia" w:hAnsiTheme="minorEastAsia" w:cstheme="minorEastAsia"/>
          <w:b/>
          <w:color w:val="auto"/>
          <w:sz w:val="28"/>
          <w:szCs w:val="28"/>
          <w:highlight w:val="none"/>
        </w:rPr>
      </w:pPr>
    </w:p>
    <w:p w14:paraId="3105232D">
      <w:pPr>
        <w:pStyle w:val="91"/>
        <w:widowControl w:val="0"/>
        <w:ind w:firstLine="0"/>
        <w:jc w:val="center"/>
        <w:rPr>
          <w:rFonts w:hint="eastAsia" w:asciiTheme="minorEastAsia" w:hAnsiTheme="minorEastAsia" w:cstheme="minorEastAsia"/>
          <w:b/>
          <w:color w:val="auto"/>
          <w:sz w:val="28"/>
          <w:szCs w:val="28"/>
          <w:highlight w:val="none"/>
        </w:rPr>
      </w:pPr>
    </w:p>
    <w:p w14:paraId="78D80C4D">
      <w:pPr>
        <w:pStyle w:val="91"/>
        <w:widowControl w:val="0"/>
        <w:ind w:firstLine="0"/>
        <w:jc w:val="center"/>
        <w:rPr>
          <w:rFonts w:hint="eastAsia" w:asciiTheme="minorEastAsia" w:hAnsiTheme="minorEastAsia" w:cstheme="minorEastAsia"/>
          <w:b/>
          <w:color w:val="auto"/>
          <w:sz w:val="28"/>
          <w:szCs w:val="28"/>
          <w:highlight w:val="none"/>
        </w:rPr>
      </w:pPr>
    </w:p>
    <w:p w14:paraId="6AFDEFC6">
      <w:pPr>
        <w:pStyle w:val="2"/>
        <w:keepNext w:val="0"/>
        <w:keepLines w:val="0"/>
        <w:numPr>
          <w:ilvl w:val="0"/>
          <w:numId w:val="0"/>
        </w:numPr>
        <w:spacing w:before="240" w:after="240" w:line="240" w:lineRule="auto"/>
        <w:ind w:left="432" w:hanging="432"/>
        <w:rPr>
          <w:rFonts w:ascii="Times New Roman" w:hAnsi="Times New Roman" w:eastAsia="黑体" w:cs="Times New Roman"/>
          <w:b w:val="0"/>
          <w:bCs w:val="0"/>
          <w:color w:val="auto"/>
          <w:highlight w:val="none"/>
        </w:rPr>
      </w:pPr>
      <w:bookmarkStart w:id="131" w:name="_Toc3554"/>
    </w:p>
    <w:p w14:paraId="2FD06C97">
      <w:pPr>
        <w:pStyle w:val="2"/>
        <w:keepNext w:val="0"/>
        <w:keepLines w:val="0"/>
        <w:numPr>
          <w:ilvl w:val="0"/>
          <w:numId w:val="0"/>
        </w:numPr>
        <w:spacing w:before="240" w:after="240" w:line="240" w:lineRule="auto"/>
        <w:ind w:left="432" w:hanging="432"/>
        <w:rPr>
          <w:rFonts w:ascii="Times New Roman" w:hAnsi="Times New Roman" w:eastAsia="黑体" w:cs="Times New Roman"/>
          <w:b w:val="0"/>
          <w:bCs w:val="0"/>
          <w:color w:val="auto"/>
          <w:highlight w:val="none"/>
        </w:rPr>
      </w:pPr>
    </w:p>
    <w:p w14:paraId="3F64C5E7">
      <w:pPr>
        <w:pStyle w:val="2"/>
        <w:keepNext w:val="0"/>
        <w:keepLines w:val="0"/>
        <w:numPr>
          <w:ilvl w:val="0"/>
          <w:numId w:val="0"/>
        </w:numPr>
        <w:spacing w:before="240" w:after="240" w:line="240" w:lineRule="auto"/>
        <w:ind w:left="432" w:hanging="432"/>
        <w:rPr>
          <w:rFonts w:ascii="Times New Roman" w:hAnsi="Times New Roman" w:eastAsia="黑体" w:cs="Times New Roman"/>
          <w:b w:val="0"/>
          <w:bCs w:val="0"/>
          <w:color w:val="auto"/>
          <w:highlight w:val="none"/>
        </w:rPr>
      </w:pPr>
    </w:p>
    <w:p w14:paraId="42E6F623">
      <w:pPr>
        <w:rPr>
          <w:rFonts w:ascii="Times New Roman" w:hAnsi="Times New Roman" w:eastAsia="黑体" w:cs="Times New Roman"/>
          <w:b w:val="0"/>
          <w:bCs w:val="0"/>
          <w:color w:val="auto"/>
          <w:highlight w:val="none"/>
        </w:rPr>
      </w:pPr>
    </w:p>
    <w:p w14:paraId="36B05CEA">
      <w:pPr>
        <w:rPr>
          <w:rFonts w:ascii="Times New Roman" w:hAnsi="Times New Roman" w:eastAsia="黑体" w:cs="Times New Roman"/>
          <w:b w:val="0"/>
          <w:bCs w:val="0"/>
          <w:color w:val="auto"/>
          <w:highlight w:val="none"/>
        </w:rPr>
      </w:pPr>
    </w:p>
    <w:p w14:paraId="1165F86E">
      <w:pPr>
        <w:rPr>
          <w:rFonts w:ascii="Times New Roman" w:hAnsi="Times New Roman" w:eastAsia="黑体" w:cs="Times New Roman"/>
          <w:b w:val="0"/>
          <w:bCs w:val="0"/>
          <w:color w:val="auto"/>
          <w:highlight w:val="none"/>
        </w:rPr>
      </w:pPr>
    </w:p>
    <w:p w14:paraId="53AFD947">
      <w:pPr>
        <w:pStyle w:val="2"/>
        <w:keepNext w:val="0"/>
        <w:keepLines w:val="0"/>
        <w:numPr>
          <w:ilvl w:val="0"/>
          <w:numId w:val="0"/>
        </w:numPr>
        <w:spacing w:before="240" w:after="240" w:line="240" w:lineRule="auto"/>
        <w:ind w:left="432" w:hanging="432"/>
        <w:rPr>
          <w:rFonts w:ascii="Times New Roman" w:hAnsi="Times New Roman" w:eastAsia="黑体" w:cs="Times New Roman"/>
          <w:b w:val="0"/>
          <w:bCs w:val="0"/>
          <w:color w:val="auto"/>
          <w:highlight w:val="none"/>
        </w:rPr>
      </w:pPr>
    </w:p>
    <w:p w14:paraId="09DB900F">
      <w:pPr>
        <w:pStyle w:val="2"/>
        <w:keepNext w:val="0"/>
        <w:keepLines w:val="0"/>
        <w:numPr>
          <w:ilvl w:val="0"/>
          <w:numId w:val="0"/>
        </w:numPr>
        <w:spacing w:before="240" w:after="240" w:line="240" w:lineRule="auto"/>
        <w:ind w:left="432" w:hanging="432"/>
        <w:rPr>
          <w:rFonts w:ascii="Times New Roman" w:hAnsi="Times New Roman" w:eastAsia="黑体" w:cs="Times New Roman"/>
          <w:b w:val="0"/>
          <w:bCs w:val="0"/>
          <w:color w:val="auto"/>
          <w:highlight w:val="none"/>
        </w:rPr>
      </w:pPr>
      <w:r>
        <w:rPr>
          <w:rFonts w:ascii="Times New Roman" w:hAnsi="Times New Roman" w:eastAsia="黑体" w:cs="Times New Roman"/>
          <w:b w:val="0"/>
          <w:bCs w:val="0"/>
          <w:color w:val="auto"/>
          <w:highlight w:val="none"/>
        </w:rPr>
        <w:t>第五章 采购需求及清单</w:t>
      </w:r>
      <w:bookmarkEnd w:id="131"/>
    </w:p>
    <w:bookmarkEnd w:id="128"/>
    <w:bookmarkEnd w:id="129"/>
    <w:bookmarkEnd w:id="130"/>
    <w:p w14:paraId="0F53CE4E">
      <w:pPr>
        <w:spacing w:line="560" w:lineRule="exact"/>
        <w:ind w:firstLine="562" w:firstLineChars="200"/>
        <w:jc w:val="left"/>
        <w:rPr>
          <w:rFonts w:hint="eastAsia" w:ascii="黑体" w:hAnsi="黑体" w:eastAsia="黑体" w:cs="黑体"/>
          <w:b/>
          <w:bCs/>
          <w:color w:val="auto"/>
          <w:kern w:val="0"/>
          <w:sz w:val="28"/>
          <w:szCs w:val="28"/>
          <w:highlight w:val="none"/>
          <w:lang w:bidi="ar"/>
        </w:rPr>
      </w:pPr>
      <w:r>
        <w:rPr>
          <w:rFonts w:hint="eastAsia" w:ascii="黑体" w:hAnsi="黑体" w:eastAsia="黑体" w:cs="黑体"/>
          <w:b/>
          <w:bCs/>
          <w:color w:val="auto"/>
          <w:kern w:val="0"/>
          <w:sz w:val="28"/>
          <w:szCs w:val="28"/>
          <w:highlight w:val="none"/>
          <w:lang w:bidi="ar"/>
        </w:rPr>
        <w:t xml:space="preserve">一、采购内容 </w:t>
      </w:r>
    </w:p>
    <w:p w14:paraId="4BCE1298">
      <w:pPr>
        <w:keepNext w:val="0"/>
        <w:spacing w:line="560" w:lineRule="exact"/>
        <w:ind w:firstLine="562"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bidi="ar"/>
        </w:rPr>
        <w:t>1.建筑工程一切险及第三者责任险：</w:t>
      </w:r>
      <w:r>
        <w:rPr>
          <w:rFonts w:hint="eastAsia" w:asciiTheme="minorEastAsia" w:hAnsiTheme="minorEastAsia" w:cstheme="minorEastAsia"/>
          <w:color w:val="auto"/>
          <w:kern w:val="0"/>
          <w:sz w:val="28"/>
          <w:szCs w:val="28"/>
          <w:highlight w:val="none"/>
          <w:lang w:bidi="ar"/>
        </w:rPr>
        <w:t>①附加免费延期</w:t>
      </w:r>
      <w:r>
        <w:rPr>
          <w:rFonts w:hint="eastAsia" w:asciiTheme="minorEastAsia" w:hAnsiTheme="minorEastAsia" w:cstheme="minorEastAsia"/>
          <w:color w:val="auto"/>
          <w:kern w:val="0"/>
          <w:sz w:val="28"/>
          <w:szCs w:val="28"/>
          <w:highlight w:val="none"/>
          <w:lang w:val="en-US" w:eastAsia="zh-CN" w:bidi="ar"/>
        </w:rPr>
        <w:t>60</w:t>
      </w:r>
      <w:r>
        <w:rPr>
          <w:rFonts w:hint="eastAsia" w:asciiTheme="minorEastAsia" w:hAnsiTheme="minorEastAsia" w:cstheme="minorEastAsia"/>
          <w:color w:val="auto"/>
          <w:kern w:val="0"/>
          <w:sz w:val="28"/>
          <w:szCs w:val="28"/>
          <w:highlight w:val="none"/>
          <w:lang w:bidi="ar"/>
        </w:rPr>
        <w:t>天，第三者责任险</w:t>
      </w:r>
      <w:r>
        <w:rPr>
          <w:rFonts w:hint="eastAsia" w:asciiTheme="minorEastAsia" w:hAnsiTheme="minorEastAsia" w:eastAsiaTheme="minorEastAsia" w:cstheme="minorEastAsia"/>
          <w:b w:val="0"/>
          <w:bCs w:val="0"/>
          <w:color w:val="auto"/>
          <w:kern w:val="0"/>
          <w:sz w:val="28"/>
          <w:szCs w:val="28"/>
          <w:highlight w:val="none"/>
          <w:lang w:bidi="ar"/>
        </w:rPr>
        <w:t>每次事故赔偿限额</w:t>
      </w:r>
      <w:r>
        <w:rPr>
          <w:rFonts w:hint="eastAsia" w:asciiTheme="minorEastAsia" w:hAnsiTheme="minorEastAsia" w:cstheme="minorEastAsia"/>
          <w:b w:val="0"/>
          <w:bCs w:val="0"/>
          <w:color w:val="auto"/>
          <w:kern w:val="0"/>
          <w:sz w:val="28"/>
          <w:szCs w:val="28"/>
          <w:highlight w:val="none"/>
          <w:lang w:val="en-US" w:eastAsia="zh-CN" w:bidi="ar"/>
        </w:rPr>
        <w:t>100</w:t>
      </w:r>
      <w:r>
        <w:rPr>
          <w:rFonts w:hint="eastAsia" w:asciiTheme="minorEastAsia" w:hAnsiTheme="minorEastAsia" w:eastAsiaTheme="minorEastAsia" w:cstheme="minorEastAsia"/>
          <w:b w:val="0"/>
          <w:bCs w:val="0"/>
          <w:color w:val="auto"/>
          <w:kern w:val="0"/>
          <w:sz w:val="28"/>
          <w:szCs w:val="28"/>
          <w:highlight w:val="none"/>
          <w:lang w:bidi="ar"/>
        </w:rPr>
        <w:t>万元，每人每次赔偿限额100万元，事故次数不限。</w:t>
      </w:r>
      <w:r>
        <w:rPr>
          <w:rFonts w:hint="eastAsia" w:asciiTheme="minorEastAsia" w:hAnsiTheme="minorEastAsia" w:cstheme="minorEastAsia"/>
          <w:b/>
          <w:bCs/>
          <w:color w:val="auto"/>
          <w:kern w:val="0"/>
          <w:sz w:val="28"/>
          <w:szCs w:val="28"/>
          <w:highlight w:val="none"/>
          <w:lang w:bidi="ar"/>
        </w:rPr>
        <w:t>不计免赔</w:t>
      </w:r>
      <w:r>
        <w:rPr>
          <w:rFonts w:hint="eastAsia" w:asciiTheme="minorEastAsia" w:hAnsiTheme="minorEastAsia" w:cstheme="minorEastAsia"/>
          <w:color w:val="auto"/>
          <w:kern w:val="0"/>
          <w:sz w:val="28"/>
          <w:szCs w:val="28"/>
          <w:highlight w:val="none"/>
          <w:lang w:bidi="ar"/>
        </w:rPr>
        <w:t>：物质损失一般风险每次事故绝对免赔额5000元或损失金额的10%，两者以高者为准；特殊风险（暴风、暴雨、暴雪、洪水、地震、泥石流、冰凌、冰雹）每次事故绝对免赔额2万元或损失金额的15%，两者以高者为准；第三者责任部分无免赔。</w:t>
      </w:r>
    </w:p>
    <w:p w14:paraId="00A391F8">
      <w:pPr>
        <w:keepNext w:val="0"/>
        <w:spacing w:line="560" w:lineRule="exact"/>
        <w:ind w:firstLine="560" w:firstLineChars="200"/>
        <w:jc w:val="left"/>
        <w:rPr>
          <w:rFonts w:hint="eastAsia" w:asciiTheme="minorEastAsia" w:hAnsiTheme="minorEastAsia" w:eastAsiaTheme="minorEastAsia" w:cstheme="minorEastAsia"/>
          <w:b/>
          <w:bCs/>
          <w:color w:val="auto"/>
          <w:kern w:val="0"/>
          <w:sz w:val="28"/>
          <w:szCs w:val="28"/>
          <w:highlight w:val="none"/>
          <w:lang w:eastAsia="zh-CN" w:bidi="ar"/>
        </w:rPr>
      </w:pPr>
      <w:r>
        <w:rPr>
          <w:rFonts w:hint="eastAsia" w:asciiTheme="minorEastAsia" w:hAnsiTheme="minorEastAsia" w:cstheme="minorEastAsia"/>
          <w:color w:val="auto"/>
          <w:kern w:val="0"/>
          <w:sz w:val="28"/>
          <w:szCs w:val="28"/>
          <w:highlight w:val="none"/>
          <w:lang w:val="en-US" w:eastAsia="zh-CN" w:bidi="ar"/>
        </w:rPr>
        <w:t>2.</w:t>
      </w:r>
      <w:r>
        <w:rPr>
          <w:rFonts w:hint="eastAsia" w:asciiTheme="minorEastAsia" w:hAnsiTheme="minorEastAsia" w:cstheme="minorEastAsia"/>
          <w:color w:val="auto"/>
          <w:kern w:val="0"/>
          <w:sz w:val="28"/>
          <w:szCs w:val="28"/>
          <w:highlight w:val="none"/>
          <w:lang w:bidi="ar"/>
        </w:rPr>
        <w:t>依据</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bidi="ar"/>
        </w:rPr>
        <w:t>2024年第十一次总经理办公会会议纪要</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bidi="ar"/>
        </w:rPr>
        <w:t>2024年第20期</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bidi="ar"/>
        </w:rPr>
        <w:t>附加免费延期180天</w:t>
      </w:r>
      <w:r>
        <w:rPr>
          <w:rFonts w:hint="eastAsia" w:asciiTheme="minorEastAsia" w:hAnsiTheme="minorEastAsia" w:cstheme="minorEastAsia"/>
          <w:color w:val="auto"/>
          <w:kern w:val="0"/>
          <w:sz w:val="28"/>
          <w:szCs w:val="28"/>
          <w:highlight w:val="none"/>
          <w:lang w:eastAsia="zh-CN" w:bidi="ar"/>
        </w:rPr>
        <w:t>、三者保额每次事故赔偿限额300万元</w:t>
      </w:r>
      <w:r>
        <w:rPr>
          <w:rFonts w:hint="eastAsia" w:asciiTheme="minorEastAsia" w:hAnsiTheme="minorEastAsia" w:cstheme="minorEastAsia"/>
          <w:color w:val="auto"/>
          <w:kern w:val="0"/>
          <w:sz w:val="28"/>
          <w:szCs w:val="28"/>
          <w:highlight w:val="none"/>
          <w:lang w:val="en-US" w:eastAsia="zh-CN" w:bidi="ar"/>
        </w:rPr>
        <w:t>，附加费率</w:t>
      </w:r>
      <w:r>
        <w:rPr>
          <w:rFonts w:hint="eastAsia" w:asciiTheme="minorEastAsia" w:hAnsiTheme="minorEastAsia" w:cstheme="minorEastAsia"/>
          <w:color w:val="auto"/>
          <w:kern w:val="0"/>
          <w:sz w:val="28"/>
          <w:szCs w:val="28"/>
          <w:highlight w:val="none"/>
          <w:lang w:bidi="ar"/>
        </w:rPr>
        <w:t>0.</w:t>
      </w:r>
      <w:r>
        <w:rPr>
          <w:rFonts w:hint="eastAsia" w:asciiTheme="minorEastAsia" w:hAnsiTheme="minorEastAsia" w:cstheme="minorEastAsia"/>
          <w:color w:val="auto"/>
          <w:kern w:val="0"/>
          <w:sz w:val="28"/>
          <w:szCs w:val="28"/>
          <w:highlight w:val="none"/>
          <w:lang w:val="en-US" w:eastAsia="zh-CN" w:bidi="ar"/>
        </w:rPr>
        <w:t>10</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bidi="ar"/>
        </w:rPr>
        <w:t>附加建筑</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bidi="ar"/>
        </w:rPr>
        <w:t>安装</w:t>
      </w:r>
      <w:r>
        <w:rPr>
          <w:rFonts w:hint="eastAsia" w:asciiTheme="minorEastAsia" w:hAnsiTheme="minorEastAsia" w:cstheme="minorEastAsia"/>
          <w:color w:val="auto"/>
          <w:kern w:val="0"/>
          <w:sz w:val="28"/>
          <w:szCs w:val="28"/>
          <w:highlight w:val="none"/>
          <w:lang w:val="en-US" w:eastAsia="zh-CN" w:bidi="ar"/>
        </w:rPr>
        <w:t>施工</w:t>
      </w:r>
      <w:r>
        <w:rPr>
          <w:rFonts w:hint="eastAsia" w:asciiTheme="minorEastAsia" w:hAnsiTheme="minorEastAsia" w:cstheme="minorEastAsia"/>
          <w:color w:val="auto"/>
          <w:kern w:val="0"/>
          <w:sz w:val="28"/>
          <w:szCs w:val="28"/>
          <w:highlight w:val="none"/>
          <w:lang w:bidi="ar"/>
        </w:rPr>
        <w:t>机具</w:t>
      </w:r>
      <w:r>
        <w:rPr>
          <w:rFonts w:hint="eastAsia" w:asciiTheme="minorEastAsia" w:hAnsiTheme="minorEastAsia" w:cstheme="minorEastAsia"/>
          <w:color w:val="auto"/>
          <w:kern w:val="0"/>
          <w:sz w:val="28"/>
          <w:szCs w:val="28"/>
          <w:highlight w:val="none"/>
          <w:lang w:val="en-US" w:eastAsia="zh-CN" w:bidi="ar"/>
        </w:rPr>
        <w:t>等被保内容，附加费率</w:t>
      </w:r>
      <w:r>
        <w:rPr>
          <w:rFonts w:hint="eastAsia" w:asciiTheme="minorEastAsia" w:hAnsiTheme="minorEastAsia" w:cstheme="minorEastAsia"/>
          <w:color w:val="auto"/>
          <w:kern w:val="0"/>
          <w:sz w:val="28"/>
          <w:szCs w:val="28"/>
          <w:highlight w:val="none"/>
          <w:lang w:bidi="ar"/>
        </w:rPr>
        <w:t>0.</w:t>
      </w:r>
      <w:r>
        <w:rPr>
          <w:rFonts w:hint="eastAsia" w:asciiTheme="minorEastAsia" w:hAnsiTheme="minorEastAsia" w:cstheme="minorEastAsia"/>
          <w:color w:val="auto"/>
          <w:kern w:val="0"/>
          <w:sz w:val="28"/>
          <w:szCs w:val="28"/>
          <w:highlight w:val="none"/>
          <w:lang w:val="en-US" w:eastAsia="zh-CN" w:bidi="ar"/>
        </w:rPr>
        <w:t>10</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val="en-US" w:eastAsia="zh-CN" w:bidi="ar"/>
        </w:rPr>
        <w:t>，</w:t>
      </w:r>
      <w:r>
        <w:rPr>
          <w:rFonts w:hint="eastAsia" w:asciiTheme="minorEastAsia" w:hAnsiTheme="minorEastAsia" w:cstheme="minorEastAsia"/>
          <w:color w:val="auto"/>
          <w:kern w:val="0"/>
          <w:sz w:val="28"/>
          <w:szCs w:val="28"/>
          <w:highlight w:val="none"/>
          <w:lang w:bidi="ar"/>
        </w:rPr>
        <w:t>附加震动</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bidi="ar"/>
        </w:rPr>
        <w:t>移动条款、地上建筑开裂责任条款</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val="en-US" w:eastAsia="zh-CN" w:bidi="ar"/>
        </w:rPr>
        <w:t>附加费率</w:t>
      </w:r>
      <w:r>
        <w:rPr>
          <w:rFonts w:hint="eastAsia" w:asciiTheme="minorEastAsia" w:hAnsiTheme="minorEastAsia" w:cstheme="minorEastAsia"/>
          <w:color w:val="auto"/>
          <w:kern w:val="0"/>
          <w:sz w:val="28"/>
          <w:szCs w:val="28"/>
          <w:highlight w:val="none"/>
          <w:lang w:bidi="ar"/>
        </w:rPr>
        <w:t>0.</w:t>
      </w:r>
      <w:r>
        <w:rPr>
          <w:rFonts w:hint="eastAsia" w:asciiTheme="minorEastAsia" w:hAnsiTheme="minorEastAsia" w:cstheme="minorEastAsia"/>
          <w:color w:val="auto"/>
          <w:kern w:val="0"/>
          <w:sz w:val="28"/>
          <w:szCs w:val="28"/>
          <w:highlight w:val="none"/>
          <w:lang w:val="en-US" w:eastAsia="zh-CN" w:bidi="ar"/>
        </w:rPr>
        <w:t>10</w:t>
      </w:r>
      <w:r>
        <w:rPr>
          <w:rFonts w:hint="eastAsia" w:asciiTheme="minorEastAsia" w:hAnsiTheme="minorEastAsia" w:cstheme="minorEastAsia"/>
          <w:color w:val="auto"/>
          <w:kern w:val="0"/>
          <w:sz w:val="28"/>
          <w:szCs w:val="28"/>
          <w:highlight w:val="none"/>
          <w:lang w:eastAsia="zh-CN" w:bidi="ar"/>
        </w:rPr>
        <w:t>‰</w:t>
      </w:r>
      <w:r>
        <w:rPr>
          <w:rFonts w:ascii="Times New Roman" w:hAnsi="Times New Roman" w:cs="Times New Roman"/>
          <w:b/>
          <w:color w:val="auto"/>
          <w:sz w:val="30"/>
          <w:szCs w:val="30"/>
          <w:highlight w:val="none"/>
        </w:rPr>
        <w:t>，该费用为不可竞争费，在</w:t>
      </w:r>
      <w:r>
        <w:rPr>
          <w:rFonts w:hint="eastAsia" w:ascii="Times New Roman" w:hAnsi="Times New Roman" w:cs="Times New Roman"/>
          <w:b/>
          <w:color w:val="auto"/>
          <w:sz w:val="30"/>
          <w:szCs w:val="30"/>
          <w:highlight w:val="none"/>
          <w:lang w:eastAsia="zh-CN"/>
        </w:rPr>
        <w:t>响应人</w:t>
      </w:r>
      <w:r>
        <w:rPr>
          <w:rFonts w:ascii="Times New Roman" w:hAnsi="Times New Roman" w:cs="Times New Roman"/>
          <w:b/>
          <w:color w:val="auto"/>
          <w:sz w:val="30"/>
          <w:szCs w:val="30"/>
          <w:highlight w:val="none"/>
        </w:rPr>
        <w:t>报价时和合同签订时不允调整。</w:t>
      </w:r>
    </w:p>
    <w:p w14:paraId="41A9E024">
      <w:pPr>
        <w:keepNext w:val="0"/>
        <w:spacing w:line="560" w:lineRule="exact"/>
        <w:ind w:firstLine="562" w:firstLineChars="200"/>
        <w:jc w:val="left"/>
        <w:rPr>
          <w:rFonts w:hint="eastAsia" w:asciiTheme="minorEastAsia" w:hAnsiTheme="minorEastAsia" w:cstheme="minorEastAsia"/>
          <w:b/>
          <w:bCs/>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val="en-US" w:eastAsia="zh-CN" w:bidi="ar"/>
        </w:rPr>
        <w:t>3</w:t>
      </w:r>
      <w:r>
        <w:rPr>
          <w:rFonts w:hint="eastAsia" w:asciiTheme="minorEastAsia" w:hAnsiTheme="minorEastAsia" w:cstheme="minorEastAsia"/>
          <w:b/>
          <w:bCs/>
          <w:color w:val="auto"/>
          <w:kern w:val="0"/>
          <w:sz w:val="28"/>
          <w:szCs w:val="28"/>
          <w:highlight w:val="none"/>
          <w:lang w:bidi="ar"/>
        </w:rPr>
        <w:t>.建工团意险、建工雇主险（或建工安责险附加雇主责任）、建工安责险赔偿限额</w:t>
      </w:r>
      <w:r>
        <w:rPr>
          <w:rFonts w:hint="eastAsia" w:asciiTheme="minorEastAsia" w:hAnsiTheme="minorEastAsia" w:cstheme="minorEastAsia"/>
          <w:color w:val="auto"/>
          <w:kern w:val="0"/>
          <w:sz w:val="28"/>
          <w:szCs w:val="28"/>
          <w:highlight w:val="none"/>
          <w:lang w:bidi="ar"/>
        </w:rPr>
        <w:t>：附加免费延期180天，人身伤亡赔偿限额60万元/人、意外医疗赔偿限额6万元/人。</w:t>
      </w:r>
      <w:r>
        <w:rPr>
          <w:rFonts w:hint="eastAsia" w:asciiTheme="minorEastAsia" w:hAnsiTheme="minorEastAsia" w:cstheme="minorEastAsia"/>
          <w:b/>
          <w:bCs/>
          <w:color w:val="auto"/>
          <w:kern w:val="0"/>
          <w:sz w:val="28"/>
          <w:szCs w:val="28"/>
          <w:highlight w:val="none"/>
          <w:lang w:bidi="ar"/>
        </w:rPr>
        <w:t>不计免赔：</w:t>
      </w:r>
      <w:r>
        <w:rPr>
          <w:rFonts w:hint="eastAsia" w:asciiTheme="minorEastAsia" w:hAnsiTheme="minorEastAsia" w:cstheme="minorEastAsia"/>
          <w:color w:val="auto"/>
          <w:kern w:val="0"/>
          <w:sz w:val="28"/>
          <w:szCs w:val="28"/>
          <w:highlight w:val="none"/>
          <w:lang w:bidi="ar"/>
        </w:rPr>
        <w:t>保险人每次理赔时在扣除人民币100元免赔额后，在意外医疗保险金额范围内，按实际支出的医疗费用100%比例给付保险金。</w:t>
      </w:r>
    </w:p>
    <w:p w14:paraId="7772A9DF">
      <w:pPr>
        <w:keepNext w:val="0"/>
        <w:spacing w:line="560" w:lineRule="exact"/>
        <w:ind w:firstLine="562"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val="en-US" w:eastAsia="zh-CN" w:bidi="ar"/>
        </w:rPr>
        <w:t>4</w:t>
      </w:r>
      <w:r>
        <w:rPr>
          <w:rFonts w:hint="eastAsia" w:asciiTheme="minorEastAsia" w:hAnsiTheme="minorEastAsia" w:cstheme="minorEastAsia"/>
          <w:b/>
          <w:bCs/>
          <w:color w:val="auto"/>
          <w:kern w:val="0"/>
          <w:sz w:val="28"/>
          <w:szCs w:val="28"/>
          <w:highlight w:val="none"/>
          <w:lang w:bidi="ar"/>
        </w:rPr>
        <w:t>.建工安责险第三者部分：</w:t>
      </w:r>
      <w:r>
        <w:rPr>
          <w:rFonts w:hint="eastAsia" w:asciiTheme="minorEastAsia" w:hAnsiTheme="minorEastAsia" w:cstheme="minorEastAsia"/>
          <w:color w:val="auto"/>
          <w:kern w:val="0"/>
          <w:sz w:val="28"/>
          <w:szCs w:val="28"/>
          <w:highlight w:val="none"/>
          <w:lang w:bidi="ar"/>
        </w:rPr>
        <w:t>附加免费延期180天，第三者责任险部分</w:t>
      </w:r>
      <w:r>
        <w:rPr>
          <w:rFonts w:hint="eastAsia" w:asciiTheme="minorEastAsia" w:hAnsiTheme="minorEastAsia" w:eastAsiaTheme="minorEastAsia" w:cstheme="minorEastAsia"/>
          <w:b w:val="0"/>
          <w:bCs w:val="0"/>
          <w:color w:val="auto"/>
          <w:kern w:val="0"/>
          <w:sz w:val="28"/>
          <w:szCs w:val="28"/>
          <w:highlight w:val="none"/>
          <w:lang w:bidi="ar"/>
        </w:rPr>
        <w:t>每次事故赔偿限额</w:t>
      </w:r>
      <w:r>
        <w:rPr>
          <w:rFonts w:hint="eastAsia" w:asciiTheme="minorEastAsia" w:hAnsiTheme="minorEastAsia" w:cstheme="minorEastAsia"/>
          <w:b w:val="0"/>
          <w:bCs w:val="0"/>
          <w:color w:val="auto"/>
          <w:kern w:val="0"/>
          <w:sz w:val="28"/>
          <w:szCs w:val="28"/>
          <w:highlight w:val="none"/>
          <w:lang w:val="en-US" w:eastAsia="zh-CN" w:bidi="ar"/>
        </w:rPr>
        <w:t>300</w:t>
      </w:r>
      <w:r>
        <w:rPr>
          <w:rFonts w:hint="eastAsia" w:asciiTheme="minorEastAsia" w:hAnsiTheme="minorEastAsia" w:eastAsiaTheme="minorEastAsia" w:cstheme="minorEastAsia"/>
          <w:b w:val="0"/>
          <w:bCs w:val="0"/>
          <w:color w:val="auto"/>
          <w:kern w:val="0"/>
          <w:sz w:val="28"/>
          <w:szCs w:val="28"/>
          <w:highlight w:val="none"/>
          <w:lang w:bidi="ar"/>
        </w:rPr>
        <w:t>万元，每次事故每人赔偿限额</w:t>
      </w:r>
      <w:r>
        <w:rPr>
          <w:rFonts w:hint="eastAsia" w:asciiTheme="minorEastAsia" w:hAnsiTheme="minorEastAsia" w:cstheme="minorEastAsia"/>
          <w:b w:val="0"/>
          <w:bCs w:val="0"/>
          <w:color w:val="auto"/>
          <w:kern w:val="0"/>
          <w:sz w:val="28"/>
          <w:szCs w:val="28"/>
          <w:highlight w:val="none"/>
          <w:lang w:val="en-US" w:eastAsia="zh-CN" w:bidi="ar"/>
        </w:rPr>
        <w:t>100</w:t>
      </w:r>
      <w:r>
        <w:rPr>
          <w:rFonts w:hint="eastAsia" w:asciiTheme="minorEastAsia" w:hAnsiTheme="minorEastAsia" w:eastAsiaTheme="minorEastAsia" w:cstheme="minorEastAsia"/>
          <w:b w:val="0"/>
          <w:bCs w:val="0"/>
          <w:color w:val="auto"/>
          <w:kern w:val="0"/>
          <w:sz w:val="28"/>
          <w:szCs w:val="28"/>
          <w:highlight w:val="none"/>
          <w:lang w:bidi="ar"/>
        </w:rPr>
        <w:t>万元，事故次数不限。</w:t>
      </w:r>
    </w:p>
    <w:p w14:paraId="1AC2C835">
      <w:pPr>
        <w:keepNext w:val="0"/>
        <w:spacing w:line="560" w:lineRule="exact"/>
        <w:ind w:firstLine="562" w:firstLineChars="200"/>
        <w:jc w:val="left"/>
        <w:rPr>
          <w:rFonts w:hint="eastAsia" w:asciiTheme="minorEastAsia" w:hAnsiTheme="minorEastAsia" w:cstheme="minorEastAsia"/>
          <w:b/>
          <w:bCs/>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val="en-US" w:eastAsia="zh-CN" w:bidi="ar"/>
        </w:rPr>
        <w:t>5</w:t>
      </w:r>
      <w:r>
        <w:rPr>
          <w:rFonts w:hint="eastAsia" w:asciiTheme="minorEastAsia" w:hAnsiTheme="minorEastAsia" w:cstheme="minorEastAsia"/>
          <w:b/>
          <w:bCs/>
          <w:color w:val="auto"/>
          <w:kern w:val="0"/>
          <w:sz w:val="28"/>
          <w:szCs w:val="28"/>
          <w:highlight w:val="none"/>
          <w:lang w:bidi="ar"/>
        </w:rPr>
        <w:t>.采购清单：本项目采用费率下浮报价，响应人以本</w:t>
      </w:r>
      <w:r>
        <w:rPr>
          <w:rFonts w:hint="eastAsia" w:asciiTheme="minorEastAsia" w:hAnsiTheme="minorEastAsia" w:cstheme="minorEastAsia"/>
          <w:b/>
          <w:bCs/>
          <w:color w:val="auto"/>
          <w:kern w:val="0"/>
          <w:sz w:val="28"/>
          <w:szCs w:val="28"/>
          <w:highlight w:val="none"/>
          <w:lang w:eastAsia="zh-CN" w:bidi="ar"/>
        </w:rPr>
        <w:t>谈判文件03标包</w:t>
      </w:r>
      <w:r>
        <w:rPr>
          <w:rFonts w:hint="eastAsia" w:asciiTheme="minorEastAsia" w:hAnsiTheme="minorEastAsia" w:cstheme="minorEastAsia"/>
          <w:b/>
          <w:bCs/>
          <w:color w:val="auto"/>
          <w:kern w:val="0"/>
          <w:sz w:val="28"/>
          <w:szCs w:val="28"/>
          <w:highlight w:val="none"/>
          <w:lang w:bidi="ar"/>
        </w:rPr>
        <w:t>年度保险标的值的设置，自行评估出报价下浮比例填写在报价函中，中标后根据实际工程造价按中标费率进行保费测算及结算。</w:t>
      </w:r>
    </w:p>
    <w:tbl>
      <w:tblPr>
        <w:tblStyle w:val="31"/>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045"/>
        <w:gridCol w:w="1340"/>
        <w:gridCol w:w="823"/>
        <w:gridCol w:w="1374"/>
        <w:gridCol w:w="1925"/>
        <w:gridCol w:w="1509"/>
        <w:gridCol w:w="1611"/>
      </w:tblGrid>
      <w:tr w14:paraId="371D15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9" w:hRule="atLeast"/>
          <w:tblHeader/>
        </w:trPr>
        <w:tc>
          <w:tcPr>
            <w:tcW w:w="542" w:type="pct"/>
            <w:shd w:val="clear" w:color="auto" w:fill="auto"/>
            <w:vAlign w:val="center"/>
          </w:tcPr>
          <w:p w14:paraId="11196465">
            <w:pPr>
              <w:keepNext w:val="0"/>
              <w:jc w:val="center"/>
              <w:textAlignment w:val="center"/>
              <w:rPr>
                <w:rFonts w:ascii="Times New Roman" w:hAnsi="Times New Roman" w:eastAsia="宋体" w:cs="Times New Roman"/>
                <w:b/>
                <w:bCs/>
                <w:color w:val="auto"/>
                <w:sz w:val="20"/>
                <w:szCs w:val="20"/>
                <w:highlight w:val="none"/>
              </w:rPr>
            </w:pPr>
            <w:r>
              <w:rPr>
                <w:rFonts w:ascii="Times New Roman" w:hAnsi="Times New Roman" w:eastAsia="宋体" w:cs="Times New Roman"/>
                <w:b/>
                <w:bCs/>
                <w:color w:val="auto"/>
                <w:kern w:val="0"/>
                <w:sz w:val="20"/>
                <w:szCs w:val="20"/>
                <w:highlight w:val="none"/>
                <w:lang w:bidi="ar"/>
              </w:rPr>
              <w:t>标包</w:t>
            </w:r>
          </w:p>
        </w:tc>
        <w:tc>
          <w:tcPr>
            <w:tcW w:w="695" w:type="pct"/>
            <w:shd w:val="clear" w:color="auto" w:fill="auto"/>
            <w:vAlign w:val="center"/>
          </w:tcPr>
          <w:p w14:paraId="1C29814B">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类别</w:t>
            </w:r>
          </w:p>
        </w:tc>
        <w:tc>
          <w:tcPr>
            <w:tcW w:w="427" w:type="pct"/>
            <w:shd w:val="clear" w:color="auto" w:fill="auto"/>
            <w:vAlign w:val="center"/>
          </w:tcPr>
          <w:p w14:paraId="44ACDAE1">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序号</w:t>
            </w:r>
          </w:p>
        </w:tc>
        <w:tc>
          <w:tcPr>
            <w:tcW w:w="713" w:type="pct"/>
            <w:shd w:val="clear" w:color="auto" w:fill="auto"/>
            <w:vAlign w:val="center"/>
          </w:tcPr>
          <w:p w14:paraId="69A7D49A">
            <w:pPr>
              <w:keepNext w:val="0"/>
              <w:jc w:val="center"/>
              <w:textAlignment w:val="center"/>
              <w:rPr>
                <w:rFonts w:hint="eastAsia" w:ascii="Times New Roman" w:hAnsi="Times New Roman" w:eastAsia="宋体" w:cs="Times New Roman"/>
                <w:b/>
                <w:bCs/>
                <w:color w:val="auto"/>
                <w:sz w:val="20"/>
                <w:szCs w:val="20"/>
                <w:highlight w:val="none"/>
                <w:lang w:eastAsia="zh-CN"/>
              </w:rPr>
            </w:pPr>
            <w:r>
              <w:rPr>
                <w:rFonts w:hint="eastAsia" w:ascii="Times New Roman" w:hAnsi="Times New Roman" w:eastAsia="宋体" w:cs="Times New Roman"/>
                <w:b/>
                <w:bCs/>
                <w:color w:val="auto"/>
                <w:kern w:val="0"/>
                <w:sz w:val="20"/>
                <w:szCs w:val="20"/>
                <w:highlight w:val="none"/>
                <w:lang w:eastAsia="zh-CN" w:bidi="ar"/>
              </w:rPr>
              <w:t>投保金额</w:t>
            </w:r>
          </w:p>
        </w:tc>
        <w:tc>
          <w:tcPr>
            <w:tcW w:w="999" w:type="pct"/>
            <w:shd w:val="clear" w:color="auto" w:fill="auto"/>
            <w:vAlign w:val="center"/>
          </w:tcPr>
          <w:p w14:paraId="4F8F3BBA">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险种名称</w:t>
            </w:r>
          </w:p>
        </w:tc>
        <w:tc>
          <w:tcPr>
            <w:tcW w:w="783" w:type="pct"/>
            <w:shd w:val="clear" w:color="auto" w:fill="auto"/>
            <w:vAlign w:val="center"/>
          </w:tcPr>
          <w:p w14:paraId="12F50D5D">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含可抵扣增值税费率</w:t>
            </w:r>
          </w:p>
        </w:tc>
        <w:tc>
          <w:tcPr>
            <w:tcW w:w="836" w:type="pct"/>
            <w:shd w:val="clear" w:color="auto" w:fill="auto"/>
            <w:vAlign w:val="center"/>
          </w:tcPr>
          <w:p w14:paraId="27194679">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备注</w:t>
            </w:r>
          </w:p>
        </w:tc>
      </w:tr>
      <w:tr w14:paraId="14A323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restart"/>
            <w:shd w:val="clear" w:color="auto" w:fill="auto"/>
            <w:vAlign w:val="center"/>
          </w:tcPr>
          <w:p w14:paraId="5BEB4177">
            <w:pPr>
              <w:keepNext w:val="0"/>
              <w:jc w:val="center"/>
              <w:textAlignment w:val="center"/>
              <w:rPr>
                <w:rFonts w:hint="eastAsia" w:ascii="Times New Roman" w:hAnsi="Times New Roman" w:eastAsia="宋体" w:cs="Times New Roman"/>
                <w:color w:val="auto"/>
                <w:sz w:val="20"/>
                <w:szCs w:val="20"/>
                <w:highlight w:val="none"/>
                <w:lang w:eastAsia="zh-CN"/>
              </w:rPr>
            </w:pPr>
            <w:r>
              <w:rPr>
                <w:rFonts w:hint="eastAsia" w:ascii="Times New Roman" w:hAnsi="Times New Roman" w:eastAsia="宋体" w:cs="Times New Roman"/>
                <w:color w:val="auto"/>
                <w:kern w:val="0"/>
                <w:sz w:val="20"/>
                <w:szCs w:val="20"/>
                <w:highlight w:val="none"/>
                <w:lang w:eastAsia="zh-CN" w:bidi="ar"/>
              </w:rPr>
              <w:t>03标包</w:t>
            </w:r>
          </w:p>
        </w:tc>
        <w:tc>
          <w:tcPr>
            <w:tcW w:w="695" w:type="pct"/>
            <w:vMerge w:val="restart"/>
            <w:shd w:val="clear" w:color="auto" w:fill="auto"/>
            <w:vAlign w:val="center"/>
          </w:tcPr>
          <w:p w14:paraId="02D16D2B">
            <w:pPr>
              <w:keepNext w:val="0"/>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承保项目</w:t>
            </w:r>
          </w:p>
        </w:tc>
        <w:tc>
          <w:tcPr>
            <w:tcW w:w="427" w:type="pct"/>
            <w:shd w:val="clear" w:color="auto" w:fill="auto"/>
            <w:vAlign w:val="center"/>
          </w:tcPr>
          <w:p w14:paraId="4B3EEF8F">
            <w:pPr>
              <w:keepNext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713" w:type="pct"/>
            <w:vMerge w:val="restart"/>
            <w:shd w:val="clear" w:color="auto" w:fill="auto"/>
            <w:vAlign w:val="center"/>
          </w:tcPr>
          <w:p w14:paraId="7EB8E936">
            <w:pPr>
              <w:keepNext w:val="0"/>
              <w:jc w:val="center"/>
              <w:textAlignment w:val="center"/>
              <w:rPr>
                <w:rFonts w:hint="eastAsia"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lang w:eastAsia="zh-CN" w:bidi="ar"/>
              </w:rPr>
              <w:t>100亿元/年</w:t>
            </w:r>
          </w:p>
        </w:tc>
        <w:tc>
          <w:tcPr>
            <w:tcW w:w="999" w:type="pct"/>
            <w:shd w:val="clear" w:color="auto" w:fill="auto"/>
            <w:vAlign w:val="center"/>
          </w:tcPr>
          <w:p w14:paraId="66C68C73">
            <w:pPr>
              <w:keepNext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建筑工程一切险及第三者责任险</w:t>
            </w:r>
          </w:p>
        </w:tc>
        <w:tc>
          <w:tcPr>
            <w:tcW w:w="1509" w:type="dxa"/>
            <w:shd w:val="clear" w:color="auto" w:fill="auto"/>
            <w:vAlign w:val="center"/>
          </w:tcPr>
          <w:p w14:paraId="36DEB133">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0.</w:t>
            </w:r>
            <w:r>
              <w:rPr>
                <w:rFonts w:hint="eastAsia" w:ascii="Times New Roman" w:hAnsi="Times New Roman" w:eastAsia="宋体" w:cs="Times New Roman"/>
                <w:color w:val="auto"/>
                <w:kern w:val="0"/>
                <w:sz w:val="20"/>
                <w:szCs w:val="20"/>
                <w:highlight w:val="none"/>
                <w:lang w:val="en-US" w:eastAsia="zh-CN" w:bidi="ar"/>
              </w:rPr>
              <w:t>90</w:t>
            </w:r>
            <w:r>
              <w:rPr>
                <w:rFonts w:hint="eastAsia" w:ascii="Times New Roman" w:hAnsi="Times New Roman" w:eastAsia="宋体" w:cs="Times New Roman"/>
                <w:color w:val="auto"/>
                <w:kern w:val="0"/>
                <w:sz w:val="20"/>
                <w:szCs w:val="20"/>
                <w:highlight w:val="none"/>
                <w:lang w:eastAsia="zh-CN" w:bidi="ar"/>
              </w:rPr>
              <w:t>‰</w:t>
            </w:r>
          </w:p>
        </w:tc>
        <w:tc>
          <w:tcPr>
            <w:tcW w:w="836" w:type="pct"/>
            <w:vMerge w:val="restart"/>
            <w:shd w:val="clear" w:color="auto" w:fill="auto"/>
            <w:vAlign w:val="center"/>
          </w:tcPr>
          <w:p w14:paraId="43732DEC">
            <w:pPr>
              <w:keepNext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甲方投保，受益人为甲方，保费由甲方支付。</w:t>
            </w:r>
          </w:p>
        </w:tc>
      </w:tr>
      <w:tr w14:paraId="4FECA9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continue"/>
            <w:shd w:val="clear" w:color="auto" w:fill="auto"/>
            <w:vAlign w:val="center"/>
          </w:tcPr>
          <w:p w14:paraId="20718AF9">
            <w:pPr>
              <w:keepNext w:val="0"/>
              <w:jc w:val="center"/>
              <w:rPr>
                <w:rFonts w:ascii="Times New Roman" w:hAnsi="Times New Roman" w:eastAsia="宋体" w:cs="Times New Roman"/>
                <w:color w:val="auto"/>
                <w:sz w:val="20"/>
                <w:szCs w:val="20"/>
                <w:highlight w:val="none"/>
              </w:rPr>
            </w:pPr>
          </w:p>
        </w:tc>
        <w:tc>
          <w:tcPr>
            <w:tcW w:w="695" w:type="pct"/>
            <w:vMerge w:val="continue"/>
            <w:shd w:val="clear" w:color="auto" w:fill="auto"/>
            <w:vAlign w:val="center"/>
          </w:tcPr>
          <w:p w14:paraId="20C3793F">
            <w:pPr>
              <w:keepNext w:val="0"/>
              <w:jc w:val="center"/>
              <w:rPr>
                <w:rFonts w:ascii="Times New Roman" w:hAnsi="Times New Roman" w:eastAsia="宋体" w:cs="Times New Roman"/>
                <w:color w:val="auto"/>
                <w:sz w:val="20"/>
                <w:szCs w:val="20"/>
                <w:highlight w:val="none"/>
              </w:rPr>
            </w:pPr>
          </w:p>
        </w:tc>
        <w:tc>
          <w:tcPr>
            <w:tcW w:w="427" w:type="pct"/>
            <w:shd w:val="clear" w:color="auto" w:fill="auto"/>
            <w:vAlign w:val="center"/>
          </w:tcPr>
          <w:p w14:paraId="057BC13B">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713" w:type="pct"/>
            <w:vMerge w:val="continue"/>
            <w:shd w:val="clear" w:color="auto" w:fill="auto"/>
            <w:vAlign w:val="center"/>
          </w:tcPr>
          <w:p w14:paraId="42632DB3">
            <w:pPr>
              <w:keepNext w:val="0"/>
              <w:jc w:val="center"/>
              <w:rPr>
                <w:rFonts w:ascii="Times New Roman" w:hAnsi="Times New Roman" w:eastAsia="宋体" w:cs="Times New Roman"/>
                <w:color w:val="auto"/>
                <w:sz w:val="20"/>
                <w:szCs w:val="20"/>
                <w:highlight w:val="none"/>
              </w:rPr>
            </w:pPr>
          </w:p>
        </w:tc>
        <w:tc>
          <w:tcPr>
            <w:tcW w:w="999" w:type="pct"/>
            <w:shd w:val="clear" w:color="auto" w:fill="auto"/>
            <w:vAlign w:val="center"/>
          </w:tcPr>
          <w:p w14:paraId="3C2C0C8F">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1509" w:type="dxa"/>
            <w:shd w:val="clear" w:color="auto" w:fill="auto"/>
            <w:vAlign w:val="center"/>
          </w:tcPr>
          <w:p w14:paraId="47151E95">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0.</w:t>
            </w:r>
            <w:r>
              <w:rPr>
                <w:rFonts w:hint="eastAsia" w:ascii="Times New Roman" w:hAnsi="Times New Roman" w:eastAsia="宋体" w:cs="Times New Roman"/>
                <w:color w:val="auto"/>
                <w:kern w:val="0"/>
                <w:sz w:val="20"/>
                <w:szCs w:val="20"/>
                <w:highlight w:val="none"/>
                <w:lang w:val="en-US" w:eastAsia="zh-CN" w:bidi="ar"/>
              </w:rPr>
              <w:t>80</w:t>
            </w:r>
            <w:r>
              <w:rPr>
                <w:rFonts w:hint="eastAsia" w:ascii="Times New Roman" w:hAnsi="Times New Roman" w:eastAsia="宋体" w:cs="Times New Roman"/>
                <w:color w:val="auto"/>
                <w:kern w:val="0"/>
                <w:sz w:val="20"/>
                <w:szCs w:val="20"/>
                <w:highlight w:val="none"/>
                <w:lang w:eastAsia="zh-CN" w:bidi="ar"/>
              </w:rPr>
              <w:t>‰</w:t>
            </w:r>
          </w:p>
        </w:tc>
        <w:tc>
          <w:tcPr>
            <w:tcW w:w="836" w:type="pct"/>
            <w:vMerge w:val="continue"/>
            <w:shd w:val="clear" w:color="auto" w:fill="auto"/>
            <w:vAlign w:val="center"/>
          </w:tcPr>
          <w:p w14:paraId="756EF19A">
            <w:pPr>
              <w:keepNext w:val="0"/>
              <w:jc w:val="center"/>
              <w:rPr>
                <w:rFonts w:ascii="Times New Roman" w:hAnsi="Times New Roman" w:eastAsia="宋体" w:cs="Times New Roman"/>
                <w:color w:val="auto"/>
                <w:sz w:val="20"/>
                <w:szCs w:val="20"/>
                <w:highlight w:val="none"/>
              </w:rPr>
            </w:pPr>
          </w:p>
        </w:tc>
      </w:tr>
      <w:tr w14:paraId="404A20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continue"/>
            <w:shd w:val="clear" w:color="auto" w:fill="auto"/>
            <w:vAlign w:val="center"/>
          </w:tcPr>
          <w:p w14:paraId="19913CBC">
            <w:pPr>
              <w:keepNext w:val="0"/>
              <w:jc w:val="center"/>
              <w:rPr>
                <w:rFonts w:ascii="Times New Roman" w:hAnsi="Times New Roman" w:eastAsia="宋体" w:cs="Times New Roman"/>
                <w:color w:val="auto"/>
                <w:sz w:val="20"/>
                <w:szCs w:val="20"/>
                <w:highlight w:val="none"/>
              </w:rPr>
            </w:pPr>
          </w:p>
        </w:tc>
        <w:tc>
          <w:tcPr>
            <w:tcW w:w="695" w:type="pct"/>
            <w:vMerge w:val="continue"/>
            <w:shd w:val="clear" w:color="auto" w:fill="auto"/>
            <w:vAlign w:val="center"/>
          </w:tcPr>
          <w:p w14:paraId="27DA0C15">
            <w:pPr>
              <w:keepNext w:val="0"/>
              <w:jc w:val="center"/>
              <w:rPr>
                <w:rFonts w:ascii="Times New Roman" w:hAnsi="Times New Roman" w:eastAsia="宋体" w:cs="Times New Roman"/>
                <w:color w:val="auto"/>
                <w:sz w:val="20"/>
                <w:szCs w:val="20"/>
                <w:highlight w:val="none"/>
              </w:rPr>
            </w:pPr>
          </w:p>
        </w:tc>
        <w:tc>
          <w:tcPr>
            <w:tcW w:w="427" w:type="pct"/>
            <w:shd w:val="clear" w:color="auto" w:fill="auto"/>
            <w:vAlign w:val="center"/>
          </w:tcPr>
          <w:p w14:paraId="407853FB">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3</w:t>
            </w:r>
          </w:p>
        </w:tc>
        <w:tc>
          <w:tcPr>
            <w:tcW w:w="713" w:type="pct"/>
            <w:vMerge w:val="continue"/>
            <w:shd w:val="clear" w:color="auto" w:fill="auto"/>
            <w:vAlign w:val="center"/>
          </w:tcPr>
          <w:p w14:paraId="20FE643E">
            <w:pPr>
              <w:keepNext w:val="0"/>
              <w:jc w:val="center"/>
              <w:rPr>
                <w:rFonts w:ascii="Times New Roman" w:hAnsi="Times New Roman" w:eastAsia="宋体" w:cs="Times New Roman"/>
                <w:color w:val="auto"/>
                <w:sz w:val="20"/>
                <w:szCs w:val="20"/>
                <w:highlight w:val="none"/>
              </w:rPr>
            </w:pPr>
          </w:p>
        </w:tc>
        <w:tc>
          <w:tcPr>
            <w:tcW w:w="999" w:type="pct"/>
            <w:shd w:val="clear" w:color="auto" w:fill="auto"/>
            <w:vAlign w:val="center"/>
          </w:tcPr>
          <w:p w14:paraId="74FC739C">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建工雇主险（或建工安责险附加雇主责任）</w:t>
            </w:r>
          </w:p>
        </w:tc>
        <w:tc>
          <w:tcPr>
            <w:tcW w:w="1509" w:type="dxa"/>
            <w:shd w:val="clear" w:color="auto" w:fill="auto"/>
            <w:vAlign w:val="center"/>
          </w:tcPr>
          <w:p w14:paraId="73B5B2D9">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0.</w:t>
            </w:r>
            <w:r>
              <w:rPr>
                <w:rFonts w:hint="eastAsia" w:ascii="Times New Roman" w:hAnsi="Times New Roman" w:eastAsia="宋体" w:cs="Times New Roman"/>
                <w:color w:val="auto"/>
                <w:kern w:val="0"/>
                <w:sz w:val="20"/>
                <w:szCs w:val="20"/>
                <w:highlight w:val="none"/>
                <w:lang w:val="en-US" w:eastAsia="zh-CN" w:bidi="ar"/>
              </w:rPr>
              <w:t>80</w:t>
            </w:r>
            <w:r>
              <w:rPr>
                <w:rFonts w:hint="eastAsia" w:ascii="Times New Roman" w:hAnsi="Times New Roman" w:eastAsia="宋体" w:cs="Times New Roman"/>
                <w:color w:val="auto"/>
                <w:kern w:val="0"/>
                <w:sz w:val="20"/>
                <w:szCs w:val="20"/>
                <w:highlight w:val="none"/>
                <w:lang w:eastAsia="zh-CN" w:bidi="ar"/>
              </w:rPr>
              <w:t>‰</w:t>
            </w:r>
          </w:p>
        </w:tc>
        <w:tc>
          <w:tcPr>
            <w:tcW w:w="836" w:type="pct"/>
            <w:vMerge w:val="continue"/>
            <w:shd w:val="clear" w:color="auto" w:fill="auto"/>
            <w:vAlign w:val="center"/>
          </w:tcPr>
          <w:p w14:paraId="0E6A58EC">
            <w:pPr>
              <w:keepNext w:val="0"/>
              <w:jc w:val="center"/>
              <w:rPr>
                <w:rFonts w:ascii="Times New Roman" w:hAnsi="Times New Roman" w:eastAsia="宋体" w:cs="Times New Roman"/>
                <w:color w:val="auto"/>
                <w:sz w:val="20"/>
                <w:szCs w:val="20"/>
                <w:highlight w:val="none"/>
              </w:rPr>
            </w:pPr>
          </w:p>
        </w:tc>
      </w:tr>
      <w:tr w14:paraId="29CA1C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continue"/>
            <w:shd w:val="clear" w:color="auto" w:fill="auto"/>
            <w:vAlign w:val="center"/>
          </w:tcPr>
          <w:p w14:paraId="20C3DEB7">
            <w:pPr>
              <w:keepNext w:val="0"/>
              <w:jc w:val="center"/>
              <w:rPr>
                <w:rFonts w:ascii="Times New Roman" w:hAnsi="Times New Roman" w:eastAsia="宋体" w:cs="Times New Roman"/>
                <w:color w:val="auto"/>
                <w:sz w:val="20"/>
                <w:szCs w:val="20"/>
                <w:highlight w:val="none"/>
              </w:rPr>
            </w:pPr>
          </w:p>
        </w:tc>
        <w:tc>
          <w:tcPr>
            <w:tcW w:w="695" w:type="pct"/>
            <w:vMerge w:val="continue"/>
            <w:shd w:val="clear" w:color="auto" w:fill="auto"/>
            <w:vAlign w:val="center"/>
          </w:tcPr>
          <w:p w14:paraId="47054073">
            <w:pPr>
              <w:keepNext w:val="0"/>
              <w:jc w:val="center"/>
              <w:rPr>
                <w:rFonts w:ascii="Times New Roman" w:hAnsi="Times New Roman" w:eastAsia="宋体" w:cs="Times New Roman"/>
                <w:color w:val="auto"/>
                <w:sz w:val="20"/>
                <w:szCs w:val="20"/>
                <w:highlight w:val="none"/>
              </w:rPr>
            </w:pPr>
          </w:p>
        </w:tc>
        <w:tc>
          <w:tcPr>
            <w:tcW w:w="427" w:type="pct"/>
            <w:shd w:val="clear" w:color="auto" w:fill="auto"/>
            <w:vAlign w:val="center"/>
          </w:tcPr>
          <w:p w14:paraId="024D8A3B">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4</w:t>
            </w:r>
          </w:p>
        </w:tc>
        <w:tc>
          <w:tcPr>
            <w:tcW w:w="713" w:type="pct"/>
            <w:vMerge w:val="continue"/>
            <w:shd w:val="clear" w:color="auto" w:fill="auto"/>
            <w:vAlign w:val="center"/>
          </w:tcPr>
          <w:p w14:paraId="0C557455">
            <w:pPr>
              <w:keepNext w:val="0"/>
              <w:jc w:val="center"/>
              <w:rPr>
                <w:rFonts w:ascii="Times New Roman" w:hAnsi="Times New Roman" w:eastAsia="宋体" w:cs="Times New Roman"/>
                <w:color w:val="auto"/>
                <w:sz w:val="20"/>
                <w:szCs w:val="20"/>
                <w:highlight w:val="none"/>
              </w:rPr>
            </w:pPr>
          </w:p>
        </w:tc>
        <w:tc>
          <w:tcPr>
            <w:tcW w:w="999" w:type="pct"/>
            <w:shd w:val="clear" w:color="auto" w:fill="auto"/>
            <w:vAlign w:val="center"/>
          </w:tcPr>
          <w:p w14:paraId="7DE0C1FE">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建工安责险</w:t>
            </w:r>
          </w:p>
        </w:tc>
        <w:tc>
          <w:tcPr>
            <w:tcW w:w="1509" w:type="dxa"/>
            <w:shd w:val="clear" w:color="auto" w:fill="auto"/>
            <w:vAlign w:val="center"/>
          </w:tcPr>
          <w:p w14:paraId="4F2ECE85">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0.</w:t>
            </w:r>
            <w:r>
              <w:rPr>
                <w:rFonts w:hint="eastAsia" w:ascii="Times New Roman" w:hAnsi="Times New Roman" w:eastAsia="宋体" w:cs="Times New Roman"/>
                <w:color w:val="auto"/>
                <w:kern w:val="0"/>
                <w:sz w:val="20"/>
                <w:szCs w:val="20"/>
                <w:highlight w:val="none"/>
                <w:lang w:val="en-US" w:eastAsia="zh-CN" w:bidi="ar"/>
              </w:rPr>
              <w:t>80</w:t>
            </w:r>
            <w:r>
              <w:rPr>
                <w:rFonts w:hint="eastAsia" w:ascii="Times New Roman" w:hAnsi="Times New Roman" w:eastAsia="宋体" w:cs="Times New Roman"/>
                <w:color w:val="auto"/>
                <w:kern w:val="0"/>
                <w:sz w:val="20"/>
                <w:szCs w:val="20"/>
                <w:highlight w:val="none"/>
                <w:lang w:eastAsia="zh-CN" w:bidi="ar"/>
              </w:rPr>
              <w:t>‰</w:t>
            </w:r>
          </w:p>
        </w:tc>
        <w:tc>
          <w:tcPr>
            <w:tcW w:w="836" w:type="pct"/>
            <w:vMerge w:val="continue"/>
            <w:shd w:val="clear" w:color="auto" w:fill="auto"/>
            <w:vAlign w:val="center"/>
          </w:tcPr>
          <w:p w14:paraId="05B7FE18">
            <w:pPr>
              <w:keepNext w:val="0"/>
              <w:jc w:val="center"/>
              <w:rPr>
                <w:rFonts w:ascii="Times New Roman" w:hAnsi="Times New Roman" w:eastAsia="宋体" w:cs="Times New Roman"/>
                <w:color w:val="auto"/>
                <w:sz w:val="20"/>
                <w:szCs w:val="20"/>
                <w:highlight w:val="none"/>
              </w:rPr>
            </w:pPr>
          </w:p>
        </w:tc>
      </w:tr>
      <w:tr w14:paraId="360BF4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continue"/>
            <w:shd w:val="clear" w:color="auto" w:fill="auto"/>
            <w:vAlign w:val="center"/>
          </w:tcPr>
          <w:p w14:paraId="0B5FF201">
            <w:pPr>
              <w:keepNext w:val="0"/>
              <w:jc w:val="center"/>
              <w:rPr>
                <w:rFonts w:ascii="Times New Roman" w:hAnsi="Times New Roman" w:eastAsia="宋体" w:cs="Times New Roman"/>
                <w:color w:val="auto"/>
                <w:sz w:val="20"/>
                <w:szCs w:val="20"/>
                <w:highlight w:val="none"/>
              </w:rPr>
            </w:pPr>
          </w:p>
        </w:tc>
        <w:tc>
          <w:tcPr>
            <w:tcW w:w="695" w:type="pct"/>
            <w:vMerge w:val="restart"/>
            <w:shd w:val="clear" w:color="auto" w:fill="auto"/>
            <w:vAlign w:val="center"/>
          </w:tcPr>
          <w:p w14:paraId="2E09D044">
            <w:pPr>
              <w:keepNext w:val="0"/>
              <w:widowControl w:val="0"/>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对下施工分包</w:t>
            </w:r>
          </w:p>
        </w:tc>
        <w:tc>
          <w:tcPr>
            <w:tcW w:w="427" w:type="pct"/>
            <w:shd w:val="clear" w:color="auto" w:fill="auto"/>
            <w:vAlign w:val="center"/>
          </w:tcPr>
          <w:p w14:paraId="5F0001EC">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713" w:type="pct"/>
            <w:vMerge w:val="restart"/>
            <w:shd w:val="clear" w:color="auto" w:fill="auto"/>
            <w:vAlign w:val="center"/>
          </w:tcPr>
          <w:p w14:paraId="7046DAE2">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lang w:val="en-US" w:eastAsia="zh-CN" w:bidi="ar"/>
              </w:rPr>
              <w:t>20</w:t>
            </w:r>
            <w:r>
              <w:rPr>
                <w:rFonts w:hint="default" w:ascii="Times New Roman" w:hAnsi="Times New Roman" w:eastAsia="宋体" w:cs="Times New Roman"/>
                <w:color w:val="auto"/>
                <w:kern w:val="0"/>
                <w:sz w:val="20"/>
                <w:szCs w:val="20"/>
                <w:highlight w:val="none"/>
                <w:lang w:bidi="ar"/>
              </w:rPr>
              <w:t>亿元</w:t>
            </w:r>
            <w:r>
              <w:rPr>
                <w:rFonts w:ascii="Times New Roman" w:hAnsi="Times New Roman" w:eastAsia="宋体" w:cs="Times New Roman"/>
                <w:color w:val="auto"/>
                <w:kern w:val="0"/>
                <w:sz w:val="20"/>
                <w:szCs w:val="20"/>
                <w:highlight w:val="none"/>
                <w:lang w:bidi="ar"/>
              </w:rPr>
              <w:t>/</w:t>
            </w:r>
            <w:r>
              <w:rPr>
                <w:rFonts w:hint="default" w:ascii="Times New Roman" w:hAnsi="Times New Roman" w:eastAsia="宋体" w:cs="Times New Roman"/>
                <w:color w:val="auto"/>
                <w:kern w:val="0"/>
                <w:sz w:val="20"/>
                <w:szCs w:val="20"/>
                <w:highlight w:val="none"/>
                <w:lang w:bidi="ar"/>
              </w:rPr>
              <w:t>年</w:t>
            </w:r>
          </w:p>
        </w:tc>
        <w:tc>
          <w:tcPr>
            <w:tcW w:w="999" w:type="pct"/>
            <w:shd w:val="clear" w:color="auto" w:fill="auto"/>
            <w:vAlign w:val="center"/>
          </w:tcPr>
          <w:p w14:paraId="37055C40">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1509" w:type="dxa"/>
            <w:shd w:val="clear" w:color="auto" w:fill="auto"/>
            <w:vAlign w:val="center"/>
          </w:tcPr>
          <w:p w14:paraId="557F29B1">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val="en-US" w:eastAsia="zh-CN" w:bidi="ar"/>
              </w:rPr>
              <w:t>6.40</w:t>
            </w:r>
            <w:r>
              <w:rPr>
                <w:rFonts w:hint="eastAsia" w:ascii="Times New Roman" w:hAnsi="Times New Roman" w:eastAsia="宋体" w:cs="Times New Roman"/>
                <w:color w:val="auto"/>
                <w:kern w:val="0"/>
                <w:sz w:val="20"/>
                <w:szCs w:val="20"/>
                <w:highlight w:val="none"/>
                <w:lang w:eastAsia="zh-CN" w:bidi="ar"/>
              </w:rPr>
              <w:t>‰</w:t>
            </w:r>
          </w:p>
        </w:tc>
        <w:tc>
          <w:tcPr>
            <w:tcW w:w="836" w:type="pct"/>
            <w:vMerge w:val="restart"/>
            <w:shd w:val="clear" w:color="auto" w:fill="auto"/>
            <w:vAlign w:val="center"/>
          </w:tcPr>
          <w:p w14:paraId="08736983">
            <w:pPr>
              <w:keepNext w:val="0"/>
              <w:widowControl w:val="0"/>
              <w:jc w:val="center"/>
              <w:textAlignment w:val="center"/>
              <w:rPr>
                <w:rFonts w:hint="eastAsia"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甲方与分包公司联合投保，受益人为分包公司，保费由甲方代为支付。</w:t>
            </w:r>
            <w:r>
              <w:rPr>
                <w:rFonts w:hint="eastAsia" w:ascii="Times New Roman" w:hAnsi="Times New Roman" w:eastAsia="宋体" w:cs="Times New Roman"/>
                <w:color w:val="auto"/>
                <w:kern w:val="0"/>
                <w:sz w:val="20"/>
                <w:szCs w:val="20"/>
                <w:highlight w:val="none"/>
                <w:lang w:eastAsia="zh-CN" w:bidi="ar"/>
              </w:rPr>
              <w:t>（费率中含附加突发疾病死亡保险）</w:t>
            </w:r>
          </w:p>
        </w:tc>
      </w:tr>
      <w:tr w14:paraId="5FE418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continue"/>
            <w:shd w:val="clear" w:color="auto" w:fill="auto"/>
            <w:vAlign w:val="center"/>
          </w:tcPr>
          <w:p w14:paraId="4FE63347">
            <w:pPr>
              <w:keepNext w:val="0"/>
              <w:jc w:val="center"/>
              <w:rPr>
                <w:rFonts w:ascii="Times New Roman" w:hAnsi="Times New Roman" w:eastAsia="宋体" w:cs="Times New Roman"/>
                <w:color w:val="auto"/>
                <w:sz w:val="20"/>
                <w:szCs w:val="20"/>
                <w:highlight w:val="none"/>
              </w:rPr>
            </w:pPr>
          </w:p>
        </w:tc>
        <w:tc>
          <w:tcPr>
            <w:tcW w:w="695" w:type="pct"/>
            <w:vMerge w:val="continue"/>
            <w:shd w:val="clear" w:color="auto" w:fill="auto"/>
            <w:vAlign w:val="center"/>
          </w:tcPr>
          <w:p w14:paraId="1CD69D00">
            <w:pPr>
              <w:keepNext w:val="0"/>
              <w:jc w:val="center"/>
              <w:rPr>
                <w:rFonts w:ascii="Times New Roman" w:hAnsi="Times New Roman" w:eastAsia="宋体" w:cs="Times New Roman"/>
                <w:color w:val="auto"/>
                <w:sz w:val="20"/>
                <w:szCs w:val="20"/>
                <w:highlight w:val="none"/>
              </w:rPr>
            </w:pPr>
          </w:p>
        </w:tc>
        <w:tc>
          <w:tcPr>
            <w:tcW w:w="427" w:type="pct"/>
            <w:shd w:val="clear" w:color="auto" w:fill="auto"/>
            <w:vAlign w:val="center"/>
          </w:tcPr>
          <w:p w14:paraId="362E14D7">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713" w:type="pct"/>
            <w:vMerge w:val="continue"/>
            <w:shd w:val="clear" w:color="auto" w:fill="auto"/>
            <w:vAlign w:val="center"/>
          </w:tcPr>
          <w:p w14:paraId="5FEAF39D">
            <w:pPr>
              <w:keepNext w:val="0"/>
              <w:jc w:val="center"/>
              <w:rPr>
                <w:rFonts w:ascii="Times New Roman" w:hAnsi="Times New Roman" w:eastAsia="宋体" w:cs="Times New Roman"/>
                <w:color w:val="auto"/>
                <w:sz w:val="20"/>
                <w:szCs w:val="20"/>
                <w:highlight w:val="none"/>
              </w:rPr>
            </w:pPr>
          </w:p>
        </w:tc>
        <w:tc>
          <w:tcPr>
            <w:tcW w:w="999" w:type="pct"/>
            <w:shd w:val="clear" w:color="auto" w:fill="auto"/>
            <w:vAlign w:val="center"/>
          </w:tcPr>
          <w:p w14:paraId="2D22314B">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w:t>
            </w:r>
          </w:p>
        </w:tc>
        <w:tc>
          <w:tcPr>
            <w:tcW w:w="1509" w:type="dxa"/>
            <w:shd w:val="clear" w:color="auto" w:fill="auto"/>
            <w:vAlign w:val="center"/>
          </w:tcPr>
          <w:p w14:paraId="6BB92D1B">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val="en-US" w:eastAsia="zh-CN" w:bidi="ar"/>
              </w:rPr>
              <w:t>6.40</w:t>
            </w:r>
            <w:r>
              <w:rPr>
                <w:rFonts w:hint="eastAsia" w:ascii="Times New Roman" w:hAnsi="Times New Roman" w:eastAsia="宋体" w:cs="Times New Roman"/>
                <w:color w:val="auto"/>
                <w:kern w:val="0"/>
                <w:sz w:val="20"/>
                <w:szCs w:val="20"/>
                <w:highlight w:val="none"/>
                <w:lang w:eastAsia="zh-CN" w:bidi="ar"/>
              </w:rPr>
              <w:t>‰</w:t>
            </w:r>
          </w:p>
        </w:tc>
        <w:tc>
          <w:tcPr>
            <w:tcW w:w="836" w:type="pct"/>
            <w:vMerge w:val="continue"/>
            <w:shd w:val="clear" w:color="auto" w:fill="auto"/>
            <w:vAlign w:val="center"/>
          </w:tcPr>
          <w:p w14:paraId="5B7BF8C2">
            <w:pPr>
              <w:keepNext w:val="0"/>
              <w:jc w:val="center"/>
              <w:rPr>
                <w:rFonts w:ascii="Times New Roman" w:hAnsi="Times New Roman" w:eastAsia="宋体" w:cs="Times New Roman"/>
                <w:color w:val="auto"/>
                <w:sz w:val="20"/>
                <w:szCs w:val="20"/>
                <w:highlight w:val="none"/>
              </w:rPr>
            </w:pPr>
          </w:p>
        </w:tc>
      </w:tr>
      <w:tr w14:paraId="608C4B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continue"/>
            <w:shd w:val="clear" w:color="auto" w:fill="auto"/>
            <w:vAlign w:val="center"/>
          </w:tcPr>
          <w:p w14:paraId="07B26D60">
            <w:pPr>
              <w:keepNext w:val="0"/>
              <w:jc w:val="center"/>
              <w:rPr>
                <w:rFonts w:ascii="Times New Roman" w:hAnsi="Times New Roman" w:eastAsia="宋体" w:cs="Times New Roman"/>
                <w:color w:val="auto"/>
                <w:sz w:val="20"/>
                <w:szCs w:val="20"/>
                <w:highlight w:val="none"/>
              </w:rPr>
            </w:pPr>
          </w:p>
        </w:tc>
        <w:tc>
          <w:tcPr>
            <w:tcW w:w="695" w:type="pct"/>
            <w:vMerge w:val="restart"/>
            <w:shd w:val="clear" w:color="auto" w:fill="auto"/>
            <w:vAlign w:val="center"/>
          </w:tcPr>
          <w:p w14:paraId="6EB859FE">
            <w:pPr>
              <w:keepNext w:val="0"/>
              <w:widowControl w:val="0"/>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对下劳务合作</w:t>
            </w:r>
          </w:p>
        </w:tc>
        <w:tc>
          <w:tcPr>
            <w:tcW w:w="427" w:type="pct"/>
            <w:shd w:val="clear" w:color="auto" w:fill="auto"/>
            <w:vAlign w:val="center"/>
          </w:tcPr>
          <w:p w14:paraId="2B5046F5">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713" w:type="pct"/>
            <w:vMerge w:val="restart"/>
            <w:shd w:val="clear" w:color="auto" w:fill="auto"/>
            <w:vAlign w:val="center"/>
          </w:tcPr>
          <w:p w14:paraId="79C447FB">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lang w:val="en-US" w:eastAsia="zh-CN" w:bidi="ar"/>
              </w:rPr>
              <w:t>30</w:t>
            </w:r>
            <w:r>
              <w:rPr>
                <w:rFonts w:hint="default" w:ascii="Times New Roman" w:hAnsi="Times New Roman" w:eastAsia="宋体" w:cs="Times New Roman"/>
                <w:color w:val="auto"/>
                <w:kern w:val="0"/>
                <w:sz w:val="20"/>
                <w:szCs w:val="20"/>
                <w:highlight w:val="none"/>
                <w:lang w:bidi="ar"/>
              </w:rPr>
              <w:t>亿元</w:t>
            </w:r>
            <w:r>
              <w:rPr>
                <w:rFonts w:ascii="Times New Roman" w:hAnsi="Times New Roman" w:eastAsia="宋体" w:cs="Times New Roman"/>
                <w:color w:val="auto"/>
                <w:kern w:val="0"/>
                <w:sz w:val="20"/>
                <w:szCs w:val="20"/>
                <w:highlight w:val="none"/>
                <w:lang w:bidi="ar"/>
              </w:rPr>
              <w:t>/</w:t>
            </w:r>
            <w:r>
              <w:rPr>
                <w:rFonts w:hint="default" w:ascii="Times New Roman" w:hAnsi="Times New Roman" w:eastAsia="宋体" w:cs="Times New Roman"/>
                <w:color w:val="auto"/>
                <w:kern w:val="0"/>
                <w:sz w:val="20"/>
                <w:szCs w:val="20"/>
                <w:highlight w:val="none"/>
                <w:lang w:bidi="ar"/>
              </w:rPr>
              <w:t>年</w:t>
            </w:r>
          </w:p>
        </w:tc>
        <w:tc>
          <w:tcPr>
            <w:tcW w:w="999" w:type="pct"/>
            <w:shd w:val="clear" w:color="auto" w:fill="auto"/>
            <w:vAlign w:val="center"/>
          </w:tcPr>
          <w:p w14:paraId="48A233A5">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1509" w:type="dxa"/>
            <w:shd w:val="clear" w:color="auto" w:fill="auto"/>
            <w:vAlign w:val="center"/>
          </w:tcPr>
          <w:p w14:paraId="65A5DBDE">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val="en-US" w:eastAsia="zh-CN" w:bidi="ar"/>
              </w:rPr>
              <w:t>7.00</w:t>
            </w:r>
            <w:r>
              <w:rPr>
                <w:rFonts w:hint="eastAsia" w:ascii="Times New Roman" w:hAnsi="Times New Roman" w:eastAsia="宋体" w:cs="Times New Roman"/>
                <w:color w:val="auto"/>
                <w:kern w:val="0"/>
                <w:sz w:val="20"/>
                <w:szCs w:val="20"/>
                <w:highlight w:val="none"/>
                <w:lang w:eastAsia="zh-CN" w:bidi="ar"/>
              </w:rPr>
              <w:t>‰</w:t>
            </w:r>
          </w:p>
        </w:tc>
        <w:tc>
          <w:tcPr>
            <w:tcW w:w="836" w:type="pct"/>
            <w:vMerge w:val="continue"/>
            <w:shd w:val="clear" w:color="auto" w:fill="auto"/>
            <w:vAlign w:val="center"/>
          </w:tcPr>
          <w:p w14:paraId="76718458">
            <w:pPr>
              <w:keepNext w:val="0"/>
              <w:jc w:val="center"/>
              <w:rPr>
                <w:rFonts w:ascii="Times New Roman" w:hAnsi="Times New Roman" w:eastAsia="宋体" w:cs="Times New Roman"/>
                <w:color w:val="auto"/>
                <w:sz w:val="20"/>
                <w:szCs w:val="20"/>
                <w:highlight w:val="none"/>
              </w:rPr>
            </w:pPr>
          </w:p>
        </w:tc>
      </w:tr>
      <w:tr w14:paraId="451A87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continue"/>
            <w:shd w:val="clear" w:color="auto" w:fill="auto"/>
            <w:vAlign w:val="center"/>
          </w:tcPr>
          <w:p w14:paraId="744EADA5">
            <w:pPr>
              <w:keepNext w:val="0"/>
              <w:jc w:val="center"/>
              <w:rPr>
                <w:rFonts w:ascii="Times New Roman" w:hAnsi="Times New Roman" w:eastAsia="宋体" w:cs="Times New Roman"/>
                <w:color w:val="auto"/>
                <w:sz w:val="20"/>
                <w:szCs w:val="20"/>
                <w:highlight w:val="none"/>
              </w:rPr>
            </w:pPr>
          </w:p>
        </w:tc>
        <w:tc>
          <w:tcPr>
            <w:tcW w:w="695" w:type="pct"/>
            <w:vMerge w:val="continue"/>
            <w:shd w:val="clear" w:color="auto" w:fill="auto"/>
            <w:vAlign w:val="center"/>
          </w:tcPr>
          <w:p w14:paraId="6DE5F90B">
            <w:pPr>
              <w:keepNext w:val="0"/>
              <w:jc w:val="center"/>
              <w:rPr>
                <w:rFonts w:ascii="Times New Roman" w:hAnsi="Times New Roman" w:eastAsia="宋体" w:cs="Times New Roman"/>
                <w:color w:val="auto"/>
                <w:sz w:val="20"/>
                <w:szCs w:val="20"/>
                <w:highlight w:val="none"/>
              </w:rPr>
            </w:pPr>
          </w:p>
        </w:tc>
        <w:tc>
          <w:tcPr>
            <w:tcW w:w="427" w:type="pct"/>
            <w:shd w:val="clear" w:color="auto" w:fill="auto"/>
            <w:vAlign w:val="center"/>
          </w:tcPr>
          <w:p w14:paraId="31AC6FE1">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713" w:type="pct"/>
            <w:vMerge w:val="continue"/>
            <w:shd w:val="clear" w:color="auto" w:fill="auto"/>
            <w:vAlign w:val="center"/>
          </w:tcPr>
          <w:p w14:paraId="2F113D6F">
            <w:pPr>
              <w:keepNext w:val="0"/>
              <w:jc w:val="center"/>
              <w:rPr>
                <w:rFonts w:ascii="Times New Roman" w:hAnsi="Times New Roman" w:eastAsia="宋体" w:cs="Times New Roman"/>
                <w:color w:val="auto"/>
                <w:sz w:val="20"/>
                <w:szCs w:val="20"/>
                <w:highlight w:val="none"/>
              </w:rPr>
            </w:pPr>
          </w:p>
        </w:tc>
        <w:tc>
          <w:tcPr>
            <w:tcW w:w="999" w:type="pct"/>
            <w:shd w:val="clear" w:color="auto" w:fill="auto"/>
            <w:vAlign w:val="center"/>
          </w:tcPr>
          <w:p w14:paraId="62A1329D">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w:t>
            </w:r>
          </w:p>
        </w:tc>
        <w:tc>
          <w:tcPr>
            <w:tcW w:w="1509" w:type="dxa"/>
            <w:shd w:val="clear" w:color="auto" w:fill="auto"/>
            <w:vAlign w:val="center"/>
          </w:tcPr>
          <w:p w14:paraId="4B4EEB9F">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val="en-US" w:eastAsia="zh-CN" w:bidi="ar"/>
              </w:rPr>
              <w:t>7.00</w:t>
            </w:r>
            <w:r>
              <w:rPr>
                <w:rFonts w:hint="eastAsia" w:ascii="Times New Roman" w:hAnsi="Times New Roman" w:eastAsia="宋体" w:cs="Times New Roman"/>
                <w:color w:val="auto"/>
                <w:kern w:val="0"/>
                <w:sz w:val="20"/>
                <w:szCs w:val="20"/>
                <w:highlight w:val="none"/>
                <w:lang w:eastAsia="zh-CN" w:bidi="ar"/>
              </w:rPr>
              <w:t>‰</w:t>
            </w:r>
          </w:p>
        </w:tc>
        <w:tc>
          <w:tcPr>
            <w:tcW w:w="836" w:type="pct"/>
            <w:vMerge w:val="continue"/>
            <w:shd w:val="clear" w:color="auto" w:fill="auto"/>
            <w:vAlign w:val="center"/>
          </w:tcPr>
          <w:p w14:paraId="79F6458E">
            <w:pPr>
              <w:keepNext w:val="0"/>
              <w:jc w:val="center"/>
              <w:rPr>
                <w:rFonts w:ascii="Times New Roman" w:hAnsi="Times New Roman" w:eastAsia="宋体" w:cs="Times New Roman"/>
                <w:color w:val="auto"/>
                <w:sz w:val="20"/>
                <w:szCs w:val="20"/>
                <w:highlight w:val="none"/>
              </w:rPr>
            </w:pPr>
          </w:p>
        </w:tc>
      </w:tr>
    </w:tbl>
    <w:p w14:paraId="33FFA77F">
      <w:pPr>
        <w:spacing w:line="560" w:lineRule="exact"/>
        <w:ind w:firstLine="562" w:firstLineChars="200"/>
        <w:jc w:val="left"/>
        <w:rPr>
          <w:rFonts w:hint="eastAsia" w:asciiTheme="minorEastAsia" w:hAnsiTheme="minorEastAsia" w:cstheme="minorEastAsia"/>
          <w:b/>
          <w:bCs/>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bidi="ar"/>
        </w:rPr>
        <w:t>备注：</w:t>
      </w:r>
      <w:r>
        <w:rPr>
          <w:rFonts w:hint="eastAsia" w:asciiTheme="minorEastAsia" w:hAnsiTheme="minorEastAsia" w:cstheme="minorEastAsia"/>
          <w:b/>
          <w:bCs/>
          <w:color w:val="auto"/>
          <w:kern w:val="0"/>
          <w:sz w:val="28"/>
          <w:szCs w:val="28"/>
          <w:highlight w:val="none"/>
          <w:lang w:eastAsia="zh-CN" w:bidi="ar"/>
        </w:rPr>
        <w:t>响应人</w:t>
      </w:r>
      <w:r>
        <w:rPr>
          <w:rFonts w:hint="eastAsia" w:asciiTheme="minorEastAsia" w:hAnsiTheme="minorEastAsia" w:cstheme="minorEastAsia"/>
          <w:b/>
          <w:bCs/>
          <w:color w:val="auto"/>
          <w:kern w:val="0"/>
          <w:sz w:val="28"/>
          <w:szCs w:val="28"/>
          <w:highlight w:val="none"/>
          <w:lang w:bidi="ar"/>
        </w:rPr>
        <w:t>报价下浮比例不得低于</w:t>
      </w:r>
      <w:r>
        <w:rPr>
          <w:rFonts w:hint="eastAsia" w:asciiTheme="minorEastAsia" w:hAnsiTheme="minorEastAsia" w:cstheme="minorEastAsia"/>
          <w:b/>
          <w:bCs/>
          <w:color w:val="auto"/>
          <w:kern w:val="0"/>
          <w:sz w:val="28"/>
          <w:szCs w:val="28"/>
          <w:highlight w:val="none"/>
          <w:lang w:eastAsia="zh-CN" w:bidi="ar"/>
        </w:rPr>
        <w:t>采购人</w:t>
      </w:r>
      <w:r>
        <w:rPr>
          <w:rFonts w:hint="eastAsia" w:asciiTheme="minorEastAsia" w:hAnsiTheme="minorEastAsia" w:cstheme="minorEastAsia"/>
          <w:b/>
          <w:bCs/>
          <w:color w:val="auto"/>
          <w:kern w:val="0"/>
          <w:sz w:val="28"/>
          <w:szCs w:val="28"/>
          <w:highlight w:val="none"/>
          <w:lang w:bidi="ar"/>
        </w:rPr>
        <w:t>限价比例，即</w:t>
      </w:r>
      <w:r>
        <w:rPr>
          <w:rFonts w:hint="eastAsia" w:asciiTheme="minorEastAsia" w:hAnsiTheme="minorEastAsia" w:cstheme="minorEastAsia"/>
          <w:b/>
          <w:bCs/>
          <w:color w:val="auto"/>
          <w:kern w:val="0"/>
          <w:sz w:val="28"/>
          <w:szCs w:val="28"/>
          <w:highlight w:val="none"/>
          <w:lang w:eastAsia="zh-CN" w:bidi="ar"/>
        </w:rPr>
        <w:t>响应人</w:t>
      </w:r>
      <w:r>
        <w:rPr>
          <w:rFonts w:hint="eastAsia" w:asciiTheme="minorEastAsia" w:hAnsiTheme="minorEastAsia" w:cstheme="minorEastAsia"/>
          <w:b/>
          <w:bCs/>
          <w:color w:val="auto"/>
          <w:kern w:val="0"/>
          <w:sz w:val="28"/>
          <w:szCs w:val="28"/>
          <w:highlight w:val="none"/>
          <w:lang w:bidi="ar"/>
        </w:rPr>
        <w:t>报价下浮比例必须大于</w:t>
      </w:r>
      <w:r>
        <w:rPr>
          <w:rFonts w:hint="eastAsia" w:asciiTheme="minorEastAsia" w:hAnsiTheme="minorEastAsia" w:cstheme="minorEastAsia"/>
          <w:b/>
          <w:bCs/>
          <w:color w:val="auto"/>
          <w:kern w:val="0"/>
          <w:sz w:val="28"/>
          <w:szCs w:val="28"/>
          <w:highlight w:val="none"/>
          <w:lang w:eastAsia="zh-CN" w:bidi="ar"/>
        </w:rPr>
        <w:t>采购人</w:t>
      </w:r>
      <w:r>
        <w:rPr>
          <w:rFonts w:hint="eastAsia" w:asciiTheme="minorEastAsia" w:hAnsiTheme="minorEastAsia" w:cstheme="minorEastAsia"/>
          <w:b/>
          <w:bCs/>
          <w:color w:val="auto"/>
          <w:kern w:val="0"/>
          <w:sz w:val="28"/>
          <w:szCs w:val="28"/>
          <w:highlight w:val="none"/>
          <w:lang w:bidi="ar"/>
        </w:rPr>
        <w:t>控制价的14.1</w:t>
      </w:r>
      <w:r>
        <w:rPr>
          <w:rFonts w:hint="eastAsia" w:asciiTheme="minorEastAsia" w:hAnsiTheme="minorEastAsia" w:cstheme="minorEastAsia"/>
          <w:b/>
          <w:bCs/>
          <w:color w:val="auto"/>
          <w:kern w:val="0"/>
          <w:sz w:val="28"/>
          <w:szCs w:val="28"/>
          <w:highlight w:val="none"/>
          <w:lang w:val="en-US" w:eastAsia="zh-CN" w:bidi="ar"/>
        </w:rPr>
        <w:t>0</w:t>
      </w:r>
      <w:r>
        <w:rPr>
          <w:rFonts w:hint="eastAsia" w:asciiTheme="minorEastAsia" w:hAnsiTheme="minorEastAsia" w:cstheme="minorEastAsia"/>
          <w:b/>
          <w:bCs/>
          <w:color w:val="auto"/>
          <w:kern w:val="0"/>
          <w:sz w:val="28"/>
          <w:szCs w:val="28"/>
          <w:highlight w:val="none"/>
          <w:lang w:bidi="ar"/>
        </w:rPr>
        <w:t>%，否则报价视为无效响应。</w:t>
      </w:r>
    </w:p>
    <w:p w14:paraId="2773734C">
      <w:pPr>
        <w:spacing w:line="560" w:lineRule="exact"/>
        <w:ind w:firstLine="562" w:firstLineChars="200"/>
        <w:jc w:val="left"/>
        <w:rPr>
          <w:rFonts w:hint="eastAsia" w:ascii="黑体" w:hAnsi="黑体" w:eastAsia="黑体" w:cs="黑体"/>
          <w:b/>
          <w:bCs/>
          <w:color w:val="auto"/>
          <w:kern w:val="0"/>
          <w:sz w:val="28"/>
          <w:szCs w:val="28"/>
          <w:highlight w:val="none"/>
          <w:lang w:bidi="ar"/>
        </w:rPr>
      </w:pPr>
      <w:r>
        <w:rPr>
          <w:rFonts w:hint="eastAsia" w:ascii="黑体" w:hAnsi="黑体" w:eastAsia="黑体" w:cs="黑体"/>
          <w:b/>
          <w:bCs/>
          <w:color w:val="auto"/>
          <w:kern w:val="0"/>
          <w:sz w:val="28"/>
          <w:szCs w:val="28"/>
          <w:highlight w:val="none"/>
          <w:lang w:bidi="ar"/>
        </w:rPr>
        <w:t xml:space="preserve">二、保险服务要求 </w:t>
      </w:r>
    </w:p>
    <w:p w14:paraId="2115AC15">
      <w:pPr>
        <w:spacing w:line="56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kern w:val="0"/>
          <w:sz w:val="28"/>
          <w:szCs w:val="28"/>
          <w:highlight w:val="none"/>
          <w:lang w:bidi="ar"/>
        </w:rPr>
        <w:t>本次采购采用</w:t>
      </w:r>
      <w:r>
        <w:rPr>
          <w:rFonts w:hint="eastAsia" w:asciiTheme="minorEastAsia" w:hAnsiTheme="minorEastAsia" w:cstheme="minorEastAsia"/>
          <w:b/>
          <w:bCs/>
          <w:color w:val="auto"/>
          <w:kern w:val="0"/>
          <w:sz w:val="28"/>
          <w:szCs w:val="28"/>
          <w:highlight w:val="none"/>
          <w:lang w:eastAsia="zh-CN" w:bidi="ar"/>
        </w:rPr>
        <w:t>1年+1年模式</w:t>
      </w:r>
      <w:r>
        <w:rPr>
          <w:rFonts w:hint="eastAsia" w:asciiTheme="minorEastAsia" w:hAnsiTheme="minorEastAsia" w:cstheme="minorEastAsia"/>
          <w:b/>
          <w:bCs/>
          <w:color w:val="auto"/>
          <w:kern w:val="0"/>
          <w:sz w:val="28"/>
          <w:szCs w:val="28"/>
          <w:highlight w:val="none"/>
          <w:lang w:bidi="ar"/>
        </w:rPr>
        <w:t>，服务期限为合同签订之日起1年，对于首次年度评价为良好及以上等次的可续签1年，每年度评价为合格及以下等次的不再续签。保险服务履约考核细则如下：</w:t>
      </w:r>
    </w:p>
    <w:p w14:paraId="091EEDDE">
      <w:pPr>
        <w:spacing w:line="560" w:lineRule="exact"/>
        <w:ind w:firstLine="0" w:firstLineChars="0"/>
        <w:jc w:val="center"/>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安徽交控工程集团有限公司保险服务年度履约考核细则</w:t>
      </w:r>
    </w:p>
    <w:p w14:paraId="6B3AFDDB">
      <w:pPr>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1.</w:t>
      </w:r>
      <w:r>
        <w:rPr>
          <w:rFonts w:hint="eastAsia" w:asciiTheme="minorEastAsia" w:hAnsiTheme="minorEastAsia" w:cstheme="minorEastAsia"/>
          <w:color w:val="auto"/>
          <w:kern w:val="0"/>
          <w:sz w:val="28"/>
          <w:szCs w:val="28"/>
          <w:highlight w:val="none"/>
          <w:lang w:eastAsia="zh-CN" w:bidi="ar"/>
        </w:rPr>
        <w:t>安徽交控工程集团有限公司</w:t>
      </w:r>
      <w:r>
        <w:rPr>
          <w:rFonts w:hint="eastAsia" w:asciiTheme="minorEastAsia" w:hAnsiTheme="minorEastAsia" w:cstheme="minorEastAsia"/>
          <w:color w:val="auto"/>
          <w:kern w:val="0"/>
          <w:sz w:val="28"/>
          <w:szCs w:val="28"/>
          <w:highlight w:val="none"/>
          <w:lang w:bidi="ar"/>
        </w:rPr>
        <w:t>组建评价小组，由安全环保部、项目管理中心、各直属单位负责人组成。</w:t>
      </w:r>
    </w:p>
    <w:p w14:paraId="64B6819F">
      <w:pPr>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2.各直属单位根据当年度的保险采购情况对成交单位进行履约考核打分，分别从“出单时效、查勘时效、理赔时效、服务质量”四个方面进行履约打分，满分100分，并由主办部门对评价结果进行汇总，计算出各单位的考核分值的平均值作为评价结果分类的唯一标准。具体考核内如如下：</w:t>
      </w:r>
    </w:p>
    <w:p w14:paraId="5F63318C">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3.根据评价得分将</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划分为四个等级，划分标准如下（评分取整数）：优秀（得分＞85分）、良好（85分≧得分＞70 分）、合格（70分≧得分≧60分）、不合格（得分&lt;60分）。</w:t>
      </w:r>
    </w:p>
    <w:p w14:paraId="1FAF8A15">
      <w:pPr>
        <w:spacing w:line="560" w:lineRule="exact"/>
        <w:jc w:val="center"/>
        <w:rPr>
          <w:rFonts w:ascii="Times New Roman" w:hAnsi="Times New Roman" w:eastAsia="方正小标宋_GBK" w:cs="Times New Roman"/>
          <w:color w:val="auto"/>
          <w:sz w:val="28"/>
          <w:szCs w:val="28"/>
          <w:highlight w:val="none"/>
        </w:rPr>
      </w:pPr>
    </w:p>
    <w:p w14:paraId="3C3A12AC">
      <w:pPr>
        <w:spacing w:line="560" w:lineRule="exact"/>
        <w:jc w:val="center"/>
        <w:rPr>
          <w:rFonts w:ascii="Times New Roman" w:hAnsi="Times New Roman" w:eastAsia="方正小标宋_GBK" w:cs="Times New Roman"/>
          <w:color w:val="auto"/>
          <w:sz w:val="28"/>
          <w:szCs w:val="28"/>
          <w:highlight w:val="none"/>
        </w:rPr>
      </w:pPr>
    </w:p>
    <w:p w14:paraId="49966C8E">
      <w:pPr>
        <w:spacing w:line="560" w:lineRule="exact"/>
        <w:jc w:val="center"/>
        <w:rPr>
          <w:rFonts w:ascii="Times New Roman" w:hAnsi="Times New Roman" w:eastAsia="方正小标宋_GBK" w:cs="Times New Roman"/>
          <w:color w:val="auto"/>
          <w:sz w:val="28"/>
          <w:szCs w:val="28"/>
          <w:highlight w:val="none"/>
        </w:rPr>
      </w:pPr>
      <w:r>
        <w:rPr>
          <w:rFonts w:ascii="Times New Roman" w:hAnsi="Times New Roman" w:eastAsia="方正小标宋_GBK" w:cs="Times New Roman"/>
          <w:b w:val="0"/>
          <w:bCs w:val="0"/>
          <w:color w:val="auto"/>
          <w:sz w:val="28"/>
          <w:szCs w:val="28"/>
          <w:highlight w:val="none"/>
        </w:rPr>
        <w:t>交控工程集团</w:t>
      </w:r>
      <w:r>
        <w:rPr>
          <w:rFonts w:hint="eastAsia" w:ascii="Times New Roman" w:hAnsi="Times New Roman" w:eastAsia="方正小标宋_GBK" w:cs="Times New Roman"/>
          <w:b w:val="0"/>
          <w:bCs w:val="0"/>
          <w:color w:val="auto"/>
          <w:sz w:val="28"/>
          <w:szCs w:val="28"/>
          <w:highlight w:val="none"/>
        </w:rPr>
        <w:t>有限公司</w:t>
      </w:r>
      <w:r>
        <w:rPr>
          <w:rFonts w:ascii="Times New Roman" w:hAnsi="Times New Roman" w:eastAsia="方正小标宋_GBK" w:cs="Times New Roman"/>
          <w:b w:val="0"/>
          <w:bCs w:val="0"/>
          <w:color w:val="auto"/>
          <w:sz w:val="28"/>
          <w:szCs w:val="28"/>
          <w:highlight w:val="none"/>
        </w:rPr>
        <w:t>保险服</w:t>
      </w:r>
      <w:r>
        <w:rPr>
          <w:rFonts w:ascii="Times New Roman" w:hAnsi="Times New Roman" w:eastAsia="方正小标宋_GBK" w:cs="Times New Roman"/>
          <w:color w:val="auto"/>
          <w:sz w:val="28"/>
          <w:szCs w:val="28"/>
          <w:highlight w:val="none"/>
        </w:rPr>
        <w:t>务年度履约考核表</w:t>
      </w:r>
    </w:p>
    <w:tbl>
      <w:tblPr>
        <w:tblStyle w:val="31"/>
        <w:tblW w:w="909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69"/>
        <w:gridCol w:w="799"/>
        <w:gridCol w:w="2445"/>
        <w:gridCol w:w="2732"/>
        <w:gridCol w:w="977"/>
        <w:gridCol w:w="876"/>
      </w:tblGrid>
      <w:tr w14:paraId="0ECC38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1269" w:type="dxa"/>
            <w:tcBorders>
              <w:tl2br w:val="nil"/>
              <w:tr2bl w:val="nil"/>
            </w:tcBorders>
            <w:shd w:val="clear" w:color="auto" w:fill="auto"/>
            <w:vAlign w:val="center"/>
          </w:tcPr>
          <w:p w14:paraId="41AA8CB9">
            <w:pPr>
              <w:widowControl w:val="0"/>
              <w:jc w:val="center"/>
              <w:rPr>
                <w:rFonts w:ascii="Times New Roman" w:hAnsi="Times New Roman" w:cs="Times New Roman"/>
                <w:b/>
                <w:bCs/>
                <w:color w:val="auto"/>
                <w:kern w:val="0"/>
                <w:sz w:val="24"/>
                <w:highlight w:val="none"/>
              </w:rPr>
            </w:pPr>
            <w:r>
              <w:rPr>
                <w:rFonts w:hint="eastAsia" w:ascii="Times New Roman" w:hAnsi="Times New Roman" w:cs="Times New Roman"/>
                <w:b/>
                <w:bCs/>
                <w:color w:val="auto"/>
                <w:kern w:val="0"/>
                <w:sz w:val="24"/>
                <w:highlight w:val="none"/>
                <w:lang w:eastAsia="zh-CN"/>
              </w:rPr>
              <w:t>服务商</w:t>
            </w:r>
            <w:r>
              <w:rPr>
                <w:rFonts w:ascii="Times New Roman" w:hAnsi="Times New Roman" w:cs="Times New Roman"/>
                <w:b/>
                <w:bCs/>
                <w:color w:val="auto"/>
                <w:kern w:val="0"/>
                <w:sz w:val="24"/>
                <w:highlight w:val="none"/>
              </w:rPr>
              <w:t>名称</w:t>
            </w:r>
          </w:p>
        </w:tc>
        <w:tc>
          <w:tcPr>
            <w:tcW w:w="3244" w:type="dxa"/>
            <w:gridSpan w:val="2"/>
            <w:tcBorders>
              <w:tl2br w:val="nil"/>
              <w:tr2bl w:val="nil"/>
            </w:tcBorders>
            <w:shd w:val="clear" w:color="auto" w:fill="auto"/>
            <w:vAlign w:val="center"/>
          </w:tcPr>
          <w:p w14:paraId="0C2A9A36">
            <w:pPr>
              <w:widowControl w:val="0"/>
              <w:jc w:val="center"/>
              <w:rPr>
                <w:rFonts w:ascii="Times New Roman" w:hAnsi="Times New Roman" w:cs="Times New Roman"/>
                <w:color w:val="auto"/>
                <w:kern w:val="0"/>
                <w:sz w:val="24"/>
                <w:highlight w:val="none"/>
              </w:rPr>
            </w:pPr>
          </w:p>
        </w:tc>
        <w:tc>
          <w:tcPr>
            <w:tcW w:w="2732" w:type="dxa"/>
            <w:tcBorders>
              <w:tl2br w:val="nil"/>
              <w:tr2bl w:val="nil"/>
            </w:tcBorders>
            <w:shd w:val="clear" w:color="auto" w:fill="auto"/>
            <w:vAlign w:val="center"/>
          </w:tcPr>
          <w:p w14:paraId="0716D926">
            <w:pPr>
              <w:widowControl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评价日期</w:t>
            </w:r>
          </w:p>
        </w:tc>
        <w:tc>
          <w:tcPr>
            <w:tcW w:w="1853" w:type="dxa"/>
            <w:gridSpan w:val="2"/>
            <w:tcBorders>
              <w:tl2br w:val="nil"/>
              <w:tr2bl w:val="nil"/>
            </w:tcBorders>
            <w:shd w:val="clear" w:color="auto" w:fill="auto"/>
            <w:vAlign w:val="center"/>
          </w:tcPr>
          <w:p w14:paraId="7E1D715E">
            <w:pPr>
              <w:widowControl w:val="0"/>
              <w:jc w:val="center"/>
              <w:rPr>
                <w:rFonts w:ascii="Times New Roman" w:hAnsi="Times New Roman" w:cs="Times New Roman"/>
                <w:color w:val="auto"/>
                <w:kern w:val="0"/>
                <w:sz w:val="24"/>
                <w:highlight w:val="none"/>
              </w:rPr>
            </w:pPr>
          </w:p>
        </w:tc>
      </w:tr>
      <w:tr w14:paraId="5562FA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5" w:hRule="atLeast"/>
          <w:jc w:val="center"/>
        </w:trPr>
        <w:tc>
          <w:tcPr>
            <w:tcW w:w="1269" w:type="dxa"/>
            <w:tcBorders>
              <w:tl2br w:val="nil"/>
              <w:tr2bl w:val="nil"/>
            </w:tcBorders>
            <w:shd w:val="clear" w:color="auto" w:fill="auto"/>
            <w:vAlign w:val="center"/>
          </w:tcPr>
          <w:p w14:paraId="558A1D1B">
            <w:pPr>
              <w:widowControl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履约内容</w:t>
            </w:r>
          </w:p>
        </w:tc>
        <w:tc>
          <w:tcPr>
            <w:tcW w:w="799" w:type="dxa"/>
            <w:tcBorders>
              <w:tl2br w:val="nil"/>
              <w:tr2bl w:val="nil"/>
            </w:tcBorders>
            <w:shd w:val="clear" w:color="auto" w:fill="auto"/>
            <w:vAlign w:val="center"/>
          </w:tcPr>
          <w:p w14:paraId="2E52006E">
            <w:pPr>
              <w:widowControl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分值</w:t>
            </w:r>
          </w:p>
        </w:tc>
        <w:tc>
          <w:tcPr>
            <w:tcW w:w="5177" w:type="dxa"/>
            <w:gridSpan w:val="2"/>
            <w:tcBorders>
              <w:tl2br w:val="nil"/>
              <w:tr2bl w:val="nil"/>
            </w:tcBorders>
            <w:shd w:val="clear" w:color="auto" w:fill="auto"/>
            <w:vAlign w:val="center"/>
          </w:tcPr>
          <w:p w14:paraId="569AEA7A">
            <w:pPr>
              <w:widowControl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评价计分规则</w:t>
            </w:r>
          </w:p>
        </w:tc>
        <w:tc>
          <w:tcPr>
            <w:tcW w:w="977" w:type="dxa"/>
            <w:tcBorders>
              <w:tl2br w:val="nil"/>
              <w:tr2bl w:val="nil"/>
            </w:tcBorders>
            <w:shd w:val="clear" w:color="auto" w:fill="auto"/>
            <w:vAlign w:val="center"/>
          </w:tcPr>
          <w:p w14:paraId="43F6F544">
            <w:pPr>
              <w:widowControl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得分</w:t>
            </w:r>
          </w:p>
        </w:tc>
        <w:tc>
          <w:tcPr>
            <w:tcW w:w="876" w:type="dxa"/>
            <w:tcBorders>
              <w:tl2br w:val="nil"/>
              <w:tr2bl w:val="nil"/>
            </w:tcBorders>
            <w:shd w:val="clear" w:color="auto" w:fill="auto"/>
            <w:vAlign w:val="center"/>
          </w:tcPr>
          <w:p w14:paraId="073938E8">
            <w:pPr>
              <w:widowControl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备注</w:t>
            </w:r>
          </w:p>
        </w:tc>
      </w:tr>
      <w:tr w14:paraId="293FFE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68" w:hRule="atLeast"/>
          <w:jc w:val="center"/>
        </w:trPr>
        <w:tc>
          <w:tcPr>
            <w:tcW w:w="1269" w:type="dxa"/>
            <w:tcBorders>
              <w:tl2br w:val="nil"/>
              <w:tr2bl w:val="nil"/>
            </w:tcBorders>
            <w:shd w:val="clear" w:color="auto" w:fill="auto"/>
            <w:vAlign w:val="center"/>
          </w:tcPr>
          <w:p w14:paraId="6C7EC4BD">
            <w:pPr>
              <w:widowControl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出单时效</w:t>
            </w:r>
          </w:p>
        </w:tc>
        <w:tc>
          <w:tcPr>
            <w:tcW w:w="799" w:type="dxa"/>
            <w:tcBorders>
              <w:tl2br w:val="nil"/>
              <w:tr2bl w:val="nil"/>
            </w:tcBorders>
            <w:shd w:val="clear" w:color="auto" w:fill="auto"/>
            <w:vAlign w:val="center"/>
          </w:tcPr>
          <w:p w14:paraId="075B74C2">
            <w:pPr>
              <w:widowControl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10</w:t>
            </w:r>
          </w:p>
        </w:tc>
        <w:tc>
          <w:tcPr>
            <w:tcW w:w="5177" w:type="dxa"/>
            <w:gridSpan w:val="2"/>
            <w:tcBorders>
              <w:tl2br w:val="nil"/>
              <w:tr2bl w:val="nil"/>
            </w:tcBorders>
            <w:shd w:val="clear" w:color="auto" w:fill="auto"/>
            <w:vAlign w:val="center"/>
          </w:tcPr>
          <w:p w14:paraId="43F81A43">
            <w:pPr>
              <w:widowControl w:val="0"/>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中标后不按采购人明确的时间出具保险单，每次扣1分；保单中未能满足采购需求及响应条件的，每次扣2分；未能按采购人要求进行现场踏勘延误项目投保进度的，每次扣5分。</w:t>
            </w:r>
          </w:p>
        </w:tc>
        <w:tc>
          <w:tcPr>
            <w:tcW w:w="977" w:type="dxa"/>
            <w:tcBorders>
              <w:tl2br w:val="nil"/>
              <w:tr2bl w:val="nil"/>
            </w:tcBorders>
            <w:shd w:val="clear" w:color="auto" w:fill="auto"/>
            <w:vAlign w:val="center"/>
          </w:tcPr>
          <w:p w14:paraId="57956BC9">
            <w:pPr>
              <w:widowControl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　</w:t>
            </w:r>
          </w:p>
        </w:tc>
        <w:tc>
          <w:tcPr>
            <w:tcW w:w="876" w:type="dxa"/>
            <w:tcBorders>
              <w:tl2br w:val="nil"/>
              <w:tr2bl w:val="nil"/>
            </w:tcBorders>
            <w:shd w:val="clear" w:color="auto" w:fill="auto"/>
            <w:vAlign w:val="center"/>
          </w:tcPr>
          <w:p w14:paraId="20E88228">
            <w:pPr>
              <w:widowControl w:val="0"/>
              <w:jc w:val="center"/>
              <w:rPr>
                <w:rFonts w:ascii="Times New Roman" w:hAnsi="Times New Roman" w:cs="Times New Roman"/>
                <w:color w:val="auto"/>
                <w:kern w:val="0"/>
                <w:sz w:val="24"/>
                <w:highlight w:val="none"/>
              </w:rPr>
            </w:pPr>
          </w:p>
        </w:tc>
      </w:tr>
      <w:tr w14:paraId="0D1AD9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23" w:hRule="atLeast"/>
          <w:jc w:val="center"/>
        </w:trPr>
        <w:tc>
          <w:tcPr>
            <w:tcW w:w="1269" w:type="dxa"/>
            <w:tcBorders>
              <w:tl2br w:val="nil"/>
              <w:tr2bl w:val="nil"/>
            </w:tcBorders>
            <w:shd w:val="clear" w:color="auto" w:fill="auto"/>
            <w:vAlign w:val="center"/>
          </w:tcPr>
          <w:p w14:paraId="6A879E17">
            <w:pPr>
              <w:widowControl w:val="0"/>
              <w:adjustRightInd w:val="0"/>
              <w:snapToGrid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查勘时效</w:t>
            </w:r>
          </w:p>
        </w:tc>
        <w:tc>
          <w:tcPr>
            <w:tcW w:w="799" w:type="dxa"/>
            <w:tcBorders>
              <w:tl2br w:val="nil"/>
              <w:tr2bl w:val="nil"/>
            </w:tcBorders>
            <w:shd w:val="clear" w:color="auto" w:fill="auto"/>
            <w:vAlign w:val="center"/>
          </w:tcPr>
          <w:p w14:paraId="5CFDF29A">
            <w:pPr>
              <w:widowControl w:val="0"/>
              <w:adjustRightInd w:val="0"/>
              <w:snapToGrid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30</w:t>
            </w:r>
          </w:p>
        </w:tc>
        <w:tc>
          <w:tcPr>
            <w:tcW w:w="5177" w:type="dxa"/>
            <w:gridSpan w:val="2"/>
            <w:tcBorders>
              <w:tl2br w:val="nil"/>
              <w:tr2bl w:val="nil"/>
            </w:tcBorders>
            <w:shd w:val="clear" w:color="auto" w:fill="auto"/>
            <w:vAlign w:val="center"/>
          </w:tcPr>
          <w:p w14:paraId="28D42326">
            <w:pPr>
              <w:widowControl w:val="0"/>
              <w:adjustRightInd w:val="0"/>
              <w:snapToGrid w:val="0"/>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事故现场勘察不及时的，每次扣2分；拖延推诿定损理赔的，每次扣5分；对事实清楚责任清晰的案件拒赔的，一次20分。</w:t>
            </w:r>
          </w:p>
        </w:tc>
        <w:tc>
          <w:tcPr>
            <w:tcW w:w="977" w:type="dxa"/>
            <w:tcBorders>
              <w:tl2br w:val="nil"/>
              <w:tr2bl w:val="nil"/>
            </w:tcBorders>
            <w:shd w:val="clear" w:color="auto" w:fill="auto"/>
            <w:vAlign w:val="center"/>
          </w:tcPr>
          <w:p w14:paraId="25B9E206">
            <w:pPr>
              <w:widowControl w:val="0"/>
              <w:jc w:val="center"/>
              <w:rPr>
                <w:rFonts w:ascii="Times New Roman" w:hAnsi="Times New Roman" w:cs="Times New Roman"/>
                <w:color w:val="auto"/>
                <w:kern w:val="0"/>
                <w:sz w:val="24"/>
                <w:highlight w:val="none"/>
              </w:rPr>
            </w:pPr>
          </w:p>
        </w:tc>
        <w:tc>
          <w:tcPr>
            <w:tcW w:w="876" w:type="dxa"/>
            <w:tcBorders>
              <w:tl2br w:val="nil"/>
              <w:tr2bl w:val="nil"/>
            </w:tcBorders>
            <w:shd w:val="clear" w:color="auto" w:fill="auto"/>
            <w:vAlign w:val="center"/>
          </w:tcPr>
          <w:p w14:paraId="713D2ED9">
            <w:pPr>
              <w:widowControl w:val="0"/>
              <w:jc w:val="center"/>
              <w:rPr>
                <w:rFonts w:ascii="Times New Roman" w:hAnsi="Times New Roman" w:cs="Times New Roman"/>
                <w:color w:val="auto"/>
                <w:kern w:val="0"/>
                <w:sz w:val="24"/>
                <w:highlight w:val="none"/>
              </w:rPr>
            </w:pPr>
          </w:p>
        </w:tc>
      </w:tr>
      <w:tr w14:paraId="70D8C2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1269" w:type="dxa"/>
            <w:tcBorders>
              <w:tl2br w:val="nil"/>
              <w:tr2bl w:val="nil"/>
            </w:tcBorders>
            <w:shd w:val="clear" w:color="auto" w:fill="auto"/>
            <w:vAlign w:val="center"/>
          </w:tcPr>
          <w:p w14:paraId="25378CA3">
            <w:pPr>
              <w:widowControl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理赔时效</w:t>
            </w:r>
          </w:p>
        </w:tc>
        <w:tc>
          <w:tcPr>
            <w:tcW w:w="799" w:type="dxa"/>
            <w:tcBorders>
              <w:tl2br w:val="nil"/>
              <w:tr2bl w:val="nil"/>
            </w:tcBorders>
            <w:shd w:val="clear" w:color="auto" w:fill="auto"/>
            <w:vAlign w:val="center"/>
          </w:tcPr>
          <w:p w14:paraId="1C5E8C5B">
            <w:pPr>
              <w:widowControl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30</w:t>
            </w:r>
          </w:p>
        </w:tc>
        <w:tc>
          <w:tcPr>
            <w:tcW w:w="5177" w:type="dxa"/>
            <w:gridSpan w:val="2"/>
            <w:tcBorders>
              <w:tl2br w:val="nil"/>
              <w:tr2bl w:val="nil"/>
            </w:tcBorders>
            <w:shd w:val="clear" w:color="auto" w:fill="auto"/>
            <w:vAlign w:val="center"/>
          </w:tcPr>
          <w:p w14:paraId="60AE9035">
            <w:pPr>
              <w:widowControl w:val="0"/>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出现理赔案件未能及时接访跟进的，每次扣2分；案件资料收集后未能及时有效理赔处理的，每次扣5分。</w:t>
            </w:r>
          </w:p>
        </w:tc>
        <w:tc>
          <w:tcPr>
            <w:tcW w:w="977" w:type="dxa"/>
            <w:tcBorders>
              <w:tl2br w:val="nil"/>
              <w:tr2bl w:val="nil"/>
            </w:tcBorders>
            <w:shd w:val="clear" w:color="auto" w:fill="auto"/>
            <w:vAlign w:val="center"/>
          </w:tcPr>
          <w:p w14:paraId="0248B6B2">
            <w:pPr>
              <w:widowControl w:val="0"/>
              <w:rPr>
                <w:rFonts w:ascii="Times New Roman" w:hAnsi="Times New Roman" w:cs="Times New Roman"/>
                <w:color w:val="auto"/>
                <w:kern w:val="0"/>
                <w:sz w:val="24"/>
                <w:highlight w:val="none"/>
              </w:rPr>
            </w:pPr>
          </w:p>
        </w:tc>
        <w:tc>
          <w:tcPr>
            <w:tcW w:w="876" w:type="dxa"/>
            <w:tcBorders>
              <w:tl2br w:val="nil"/>
              <w:tr2bl w:val="nil"/>
            </w:tcBorders>
            <w:shd w:val="clear" w:color="auto" w:fill="auto"/>
            <w:vAlign w:val="center"/>
          </w:tcPr>
          <w:p w14:paraId="3FA03F59">
            <w:pPr>
              <w:widowControl w:val="0"/>
              <w:jc w:val="center"/>
              <w:rPr>
                <w:rFonts w:ascii="Times New Roman" w:hAnsi="Times New Roman" w:cs="Times New Roman"/>
                <w:color w:val="auto"/>
                <w:kern w:val="0"/>
                <w:sz w:val="24"/>
                <w:highlight w:val="none"/>
              </w:rPr>
            </w:pPr>
          </w:p>
        </w:tc>
      </w:tr>
      <w:tr w14:paraId="7BBF68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1" w:hRule="atLeast"/>
          <w:jc w:val="center"/>
        </w:trPr>
        <w:tc>
          <w:tcPr>
            <w:tcW w:w="1269" w:type="dxa"/>
            <w:tcBorders>
              <w:tl2br w:val="nil"/>
              <w:tr2bl w:val="nil"/>
            </w:tcBorders>
            <w:shd w:val="clear" w:color="auto" w:fill="auto"/>
            <w:vAlign w:val="center"/>
          </w:tcPr>
          <w:p w14:paraId="512F4C52">
            <w:pPr>
              <w:widowControl w:val="0"/>
              <w:adjustRightInd w:val="0"/>
              <w:snapToGrid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服务质量</w:t>
            </w:r>
          </w:p>
        </w:tc>
        <w:tc>
          <w:tcPr>
            <w:tcW w:w="799" w:type="dxa"/>
            <w:tcBorders>
              <w:tl2br w:val="nil"/>
              <w:tr2bl w:val="nil"/>
            </w:tcBorders>
            <w:shd w:val="clear" w:color="auto" w:fill="auto"/>
            <w:vAlign w:val="center"/>
          </w:tcPr>
          <w:p w14:paraId="47E20CBB">
            <w:pPr>
              <w:widowControl w:val="0"/>
              <w:adjustRightInd w:val="0"/>
              <w:snapToGrid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30</w:t>
            </w:r>
          </w:p>
        </w:tc>
        <w:tc>
          <w:tcPr>
            <w:tcW w:w="5177" w:type="dxa"/>
            <w:gridSpan w:val="2"/>
            <w:tcBorders>
              <w:tl2br w:val="nil"/>
              <w:tr2bl w:val="nil"/>
            </w:tcBorders>
            <w:shd w:val="clear" w:color="auto" w:fill="auto"/>
            <w:vAlign w:val="center"/>
          </w:tcPr>
          <w:p w14:paraId="1966D074">
            <w:pPr>
              <w:widowControl w:val="0"/>
              <w:adjustRightInd w:val="0"/>
              <w:snapToGrid w:val="0"/>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服务过程中与采购方发生激烈争执的，每次扣2分；因</w:t>
            </w:r>
            <w:r>
              <w:rPr>
                <w:rFonts w:hint="eastAsia" w:ascii="Times New Roman" w:hAnsi="Times New Roman" w:cs="Times New Roman"/>
                <w:color w:val="auto"/>
                <w:kern w:val="0"/>
                <w:sz w:val="24"/>
                <w:highlight w:val="none"/>
                <w:lang w:eastAsia="zh-CN"/>
              </w:rPr>
              <w:t>服务商</w:t>
            </w:r>
            <w:r>
              <w:rPr>
                <w:rFonts w:ascii="Times New Roman" w:hAnsi="Times New Roman" w:cs="Times New Roman"/>
                <w:color w:val="auto"/>
                <w:kern w:val="0"/>
                <w:sz w:val="24"/>
                <w:highlight w:val="none"/>
              </w:rPr>
              <w:t>原因保单未及时生效的，每次扣5分；因</w:t>
            </w:r>
            <w:r>
              <w:rPr>
                <w:rFonts w:hint="eastAsia" w:ascii="Times New Roman" w:hAnsi="Times New Roman" w:cs="Times New Roman"/>
                <w:color w:val="auto"/>
                <w:kern w:val="0"/>
                <w:sz w:val="24"/>
                <w:highlight w:val="none"/>
                <w:lang w:eastAsia="zh-CN"/>
              </w:rPr>
              <w:t>服务商</w:t>
            </w:r>
            <w:r>
              <w:rPr>
                <w:rFonts w:ascii="Times New Roman" w:hAnsi="Times New Roman" w:cs="Times New Roman"/>
                <w:color w:val="auto"/>
                <w:kern w:val="0"/>
                <w:sz w:val="24"/>
                <w:highlight w:val="none"/>
              </w:rPr>
              <w:t>未及时承保无法理赔的，一次20分。</w:t>
            </w:r>
          </w:p>
        </w:tc>
        <w:tc>
          <w:tcPr>
            <w:tcW w:w="977" w:type="dxa"/>
            <w:tcBorders>
              <w:tl2br w:val="nil"/>
              <w:tr2bl w:val="nil"/>
            </w:tcBorders>
            <w:shd w:val="clear" w:color="auto" w:fill="auto"/>
            <w:vAlign w:val="center"/>
          </w:tcPr>
          <w:p w14:paraId="3133784E">
            <w:pPr>
              <w:widowControl w:val="0"/>
              <w:adjustRightInd w:val="0"/>
              <w:snapToGrid w:val="0"/>
              <w:jc w:val="center"/>
              <w:rPr>
                <w:rFonts w:ascii="Times New Roman" w:hAnsi="Times New Roman" w:cs="Times New Roman"/>
                <w:color w:val="auto"/>
                <w:kern w:val="0"/>
                <w:sz w:val="24"/>
                <w:highlight w:val="none"/>
              </w:rPr>
            </w:pPr>
          </w:p>
        </w:tc>
        <w:tc>
          <w:tcPr>
            <w:tcW w:w="876" w:type="dxa"/>
            <w:tcBorders>
              <w:tl2br w:val="nil"/>
              <w:tr2bl w:val="nil"/>
            </w:tcBorders>
            <w:shd w:val="clear" w:color="auto" w:fill="auto"/>
            <w:vAlign w:val="center"/>
          </w:tcPr>
          <w:p w14:paraId="13695F2B">
            <w:pPr>
              <w:widowControl w:val="0"/>
              <w:jc w:val="center"/>
              <w:rPr>
                <w:rFonts w:ascii="Times New Roman" w:hAnsi="Times New Roman" w:cs="Times New Roman"/>
                <w:color w:val="auto"/>
                <w:kern w:val="0"/>
                <w:sz w:val="24"/>
                <w:highlight w:val="none"/>
              </w:rPr>
            </w:pPr>
          </w:p>
        </w:tc>
      </w:tr>
      <w:tr w14:paraId="61657C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1269" w:type="dxa"/>
            <w:tcBorders>
              <w:tl2br w:val="nil"/>
              <w:tr2bl w:val="nil"/>
            </w:tcBorders>
            <w:shd w:val="clear" w:color="auto" w:fill="auto"/>
            <w:vAlign w:val="center"/>
          </w:tcPr>
          <w:p w14:paraId="3376F5A2">
            <w:pPr>
              <w:widowControl w:val="0"/>
              <w:adjustRightInd w:val="0"/>
              <w:snapToGrid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合计</w:t>
            </w:r>
          </w:p>
        </w:tc>
        <w:tc>
          <w:tcPr>
            <w:tcW w:w="799" w:type="dxa"/>
            <w:tcBorders>
              <w:tl2br w:val="nil"/>
              <w:tr2bl w:val="nil"/>
            </w:tcBorders>
            <w:shd w:val="clear" w:color="auto" w:fill="auto"/>
            <w:vAlign w:val="center"/>
          </w:tcPr>
          <w:p w14:paraId="1223DED8">
            <w:pPr>
              <w:widowControl w:val="0"/>
              <w:adjustRightInd w:val="0"/>
              <w:snapToGrid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100</w:t>
            </w:r>
          </w:p>
        </w:tc>
        <w:tc>
          <w:tcPr>
            <w:tcW w:w="5177" w:type="dxa"/>
            <w:gridSpan w:val="2"/>
            <w:tcBorders>
              <w:tl2br w:val="nil"/>
              <w:tr2bl w:val="nil"/>
            </w:tcBorders>
            <w:shd w:val="clear" w:color="auto" w:fill="auto"/>
            <w:vAlign w:val="center"/>
          </w:tcPr>
          <w:p w14:paraId="301B657D">
            <w:pPr>
              <w:widowControl w:val="0"/>
              <w:adjustRightInd w:val="0"/>
              <w:snapToGrid w:val="0"/>
              <w:rPr>
                <w:rFonts w:ascii="Times New Roman" w:hAnsi="Times New Roman" w:cs="Times New Roman"/>
                <w:color w:val="auto"/>
                <w:kern w:val="0"/>
                <w:sz w:val="24"/>
                <w:highlight w:val="none"/>
              </w:rPr>
            </w:pPr>
          </w:p>
        </w:tc>
        <w:tc>
          <w:tcPr>
            <w:tcW w:w="977" w:type="dxa"/>
            <w:tcBorders>
              <w:tl2br w:val="nil"/>
              <w:tr2bl w:val="nil"/>
            </w:tcBorders>
            <w:shd w:val="clear" w:color="auto" w:fill="auto"/>
            <w:vAlign w:val="center"/>
          </w:tcPr>
          <w:p w14:paraId="727BAE35">
            <w:pPr>
              <w:widowControl w:val="0"/>
              <w:adjustRightInd w:val="0"/>
              <w:snapToGrid w:val="0"/>
              <w:jc w:val="center"/>
              <w:rPr>
                <w:rFonts w:ascii="Times New Roman" w:hAnsi="Times New Roman" w:cs="Times New Roman"/>
                <w:color w:val="auto"/>
                <w:kern w:val="0"/>
                <w:sz w:val="24"/>
                <w:highlight w:val="none"/>
              </w:rPr>
            </w:pPr>
          </w:p>
        </w:tc>
        <w:tc>
          <w:tcPr>
            <w:tcW w:w="876" w:type="dxa"/>
            <w:tcBorders>
              <w:tl2br w:val="nil"/>
              <w:tr2bl w:val="nil"/>
            </w:tcBorders>
            <w:shd w:val="clear" w:color="auto" w:fill="auto"/>
            <w:vAlign w:val="center"/>
          </w:tcPr>
          <w:p w14:paraId="72420BA8">
            <w:pPr>
              <w:widowControl w:val="0"/>
              <w:jc w:val="center"/>
              <w:rPr>
                <w:rFonts w:ascii="Times New Roman" w:hAnsi="Times New Roman" w:cs="Times New Roman"/>
                <w:color w:val="auto"/>
                <w:kern w:val="0"/>
                <w:sz w:val="24"/>
                <w:highlight w:val="none"/>
              </w:rPr>
            </w:pPr>
          </w:p>
        </w:tc>
      </w:tr>
      <w:tr w14:paraId="7282A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45" w:hRule="atLeast"/>
          <w:jc w:val="center"/>
        </w:trPr>
        <w:tc>
          <w:tcPr>
            <w:tcW w:w="9098" w:type="dxa"/>
            <w:gridSpan w:val="6"/>
            <w:tcBorders>
              <w:tl2br w:val="nil"/>
              <w:tr2bl w:val="nil"/>
            </w:tcBorders>
            <w:shd w:val="clear" w:color="auto" w:fill="auto"/>
            <w:vAlign w:val="center"/>
          </w:tcPr>
          <w:p w14:paraId="7CB33DB3">
            <w:pPr>
              <w:widowControl w:val="0"/>
              <w:spacing w:line="480" w:lineRule="auto"/>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评价意见（注明建议需要改进的意见）：</w:t>
            </w:r>
          </w:p>
          <w:p w14:paraId="3920FD05">
            <w:pPr>
              <w:widowControl w:val="0"/>
              <w:rPr>
                <w:rFonts w:ascii="Times New Roman" w:hAnsi="Times New Roman" w:cs="Times New Roman"/>
                <w:color w:val="auto"/>
                <w:kern w:val="0"/>
                <w:sz w:val="24"/>
                <w:highlight w:val="none"/>
              </w:rPr>
            </w:pPr>
          </w:p>
          <w:p w14:paraId="750A6807">
            <w:pPr>
              <w:widowControl w:val="0"/>
              <w:ind w:firstLine="2400" w:firstLineChars="1000"/>
              <w:rPr>
                <w:rFonts w:ascii="Times New Roman" w:hAnsi="Times New Roman" w:cs="Times New Roman"/>
                <w:color w:val="auto"/>
                <w:kern w:val="0"/>
                <w:sz w:val="24"/>
                <w:highlight w:val="none"/>
              </w:rPr>
            </w:pPr>
          </w:p>
          <w:p w14:paraId="0EABD2F4">
            <w:pPr>
              <w:widowControl w:val="0"/>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评价单位（盖章）：</w:t>
            </w:r>
          </w:p>
        </w:tc>
      </w:tr>
    </w:tbl>
    <w:p w14:paraId="5D39B54B">
      <w:pPr>
        <w:spacing w:line="560" w:lineRule="exact"/>
        <w:ind w:firstLine="562" w:firstLineChars="200"/>
        <w:jc w:val="left"/>
        <w:rPr>
          <w:rFonts w:hint="eastAsia" w:ascii="黑体" w:hAnsi="黑体" w:eastAsia="黑体" w:cs="黑体"/>
          <w:b/>
          <w:bCs/>
          <w:color w:val="auto"/>
          <w:kern w:val="0"/>
          <w:sz w:val="28"/>
          <w:szCs w:val="28"/>
          <w:highlight w:val="none"/>
          <w:lang w:bidi="ar"/>
        </w:rPr>
      </w:pPr>
      <w:r>
        <w:rPr>
          <w:rFonts w:hint="eastAsia" w:ascii="黑体" w:hAnsi="黑体" w:eastAsia="黑体" w:cs="黑体"/>
          <w:b/>
          <w:bCs/>
          <w:color w:val="auto"/>
          <w:kern w:val="0"/>
          <w:sz w:val="28"/>
          <w:szCs w:val="28"/>
          <w:highlight w:val="none"/>
          <w:lang w:bidi="ar"/>
        </w:rPr>
        <w:t xml:space="preserve">三、采购要求  </w:t>
      </w:r>
    </w:p>
    <w:p w14:paraId="3BAB0684">
      <w:pPr>
        <w:widowControl w:val="0"/>
        <w:spacing w:line="56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kern w:val="0"/>
          <w:sz w:val="28"/>
          <w:szCs w:val="28"/>
          <w:highlight w:val="none"/>
          <w:lang w:bidi="ar"/>
        </w:rPr>
        <w:t>（1）保险公司机构设置</w:t>
      </w:r>
      <w:r>
        <w:rPr>
          <w:rFonts w:hint="eastAsia" w:asciiTheme="minorEastAsia" w:hAnsiTheme="minorEastAsia" w:cstheme="minorEastAsia"/>
          <w:color w:val="auto"/>
          <w:kern w:val="0"/>
          <w:sz w:val="28"/>
          <w:szCs w:val="28"/>
          <w:highlight w:val="none"/>
          <w:lang w:bidi="ar"/>
        </w:rPr>
        <w:t xml:space="preserve"> </w:t>
      </w:r>
    </w:p>
    <w:p w14:paraId="1CCE93C5">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 xml:space="preserve">l. 保险公司应成立本项目服务团队，负责协调承保、理赔、服务等相关事宜，服务团队下设组长1人、副组长1人、组员若干，小组组长由承保公司相关领导担任。 </w:t>
      </w:r>
    </w:p>
    <w:p w14:paraId="5D5443E6">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 xml:space="preserve">2.保险公司应配备现场服务小组，定人定岗，专人专责，明确理赔程序及联系方式。 </w:t>
      </w:r>
    </w:p>
    <w:p w14:paraId="55259536">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 xml:space="preserve">3.上述机构必须明示理赔人员，该人员如调动离岗，须三个工作日内告知被保险人接替人员联系方式。 </w:t>
      </w:r>
    </w:p>
    <w:p w14:paraId="62342688">
      <w:pPr>
        <w:widowControl w:val="0"/>
        <w:spacing w:line="560" w:lineRule="exact"/>
        <w:ind w:firstLine="562"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kern w:val="0"/>
          <w:sz w:val="28"/>
          <w:szCs w:val="28"/>
          <w:highlight w:val="none"/>
          <w:lang w:bidi="ar"/>
        </w:rPr>
        <w:t xml:space="preserve">（2）查勘时效 </w:t>
      </w:r>
    </w:p>
    <w:p w14:paraId="7AEE518C">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1.保证快捷查勘现场，确定专业部门负责建筑工程一切险及第三者责任险、建工团意险、建工雇主险、建工安责险</w:t>
      </w:r>
      <w:r>
        <w:rPr>
          <w:rFonts w:hint="eastAsia" w:asciiTheme="minorEastAsia" w:hAnsiTheme="minorEastAsia" w:cstheme="minorEastAsia"/>
          <w:color w:val="auto"/>
          <w:kern w:val="0"/>
          <w:sz w:val="28"/>
          <w:szCs w:val="28"/>
          <w:highlight w:val="none"/>
          <w:lang w:val="en-US" w:eastAsia="zh-CN" w:bidi="ar"/>
        </w:rPr>
        <w:t>等保险</w:t>
      </w:r>
      <w:r>
        <w:rPr>
          <w:rFonts w:hint="eastAsia" w:asciiTheme="minorEastAsia" w:hAnsiTheme="minorEastAsia" w:cstheme="minorEastAsia"/>
          <w:color w:val="auto"/>
          <w:kern w:val="0"/>
          <w:sz w:val="28"/>
          <w:szCs w:val="28"/>
          <w:highlight w:val="none"/>
          <w:lang w:bidi="ar"/>
        </w:rPr>
        <w:t xml:space="preserve">的现场查勘和定损。使用全国统一的客户服务专线电话，实行“724”式服务（7天24小时全程服务），包括保险报案、举报、投诉、咨询及预约投保等服务内容。安徽省内市区范围内出险40分钟内到达事故现场；四县范围内出险60分钟内到达事故现场，其他地区出险 90 分钟内到达事故现场。 </w:t>
      </w:r>
    </w:p>
    <w:p w14:paraId="4507ABB8">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 xml:space="preserve">2.保险事故发生后，在理赔人员未到达现场之前，被保险人可根据实际情况立即进行抢修，理赔时以被保险人出险记录与现场图片为依据，不必保留现场。 </w:t>
      </w:r>
    </w:p>
    <w:p w14:paraId="4CBB75CE">
      <w:pPr>
        <w:widowControl w:val="0"/>
        <w:spacing w:line="56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kern w:val="0"/>
          <w:sz w:val="28"/>
          <w:szCs w:val="28"/>
          <w:highlight w:val="none"/>
          <w:lang w:bidi="ar"/>
        </w:rPr>
        <w:t>（3）出单及理赔服务</w:t>
      </w:r>
      <w:r>
        <w:rPr>
          <w:rFonts w:hint="eastAsia" w:asciiTheme="minorEastAsia" w:hAnsiTheme="minorEastAsia" w:cstheme="minorEastAsia"/>
          <w:color w:val="auto"/>
          <w:kern w:val="0"/>
          <w:sz w:val="28"/>
          <w:szCs w:val="28"/>
          <w:highlight w:val="none"/>
          <w:lang w:bidi="ar"/>
        </w:rPr>
        <w:t xml:space="preserve"> </w:t>
      </w:r>
    </w:p>
    <w:p w14:paraId="60AA6F26">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1.</w:t>
      </w:r>
      <w:r>
        <w:rPr>
          <w:rFonts w:hint="eastAsia" w:asciiTheme="minorEastAsia" w:hAnsiTheme="minorEastAsia" w:cstheme="minorEastAsia"/>
          <w:color w:val="auto"/>
          <w:sz w:val="28"/>
          <w:szCs w:val="28"/>
          <w:highlight w:val="none"/>
        </w:rPr>
        <w:t>项目合同保额以我方公司最终实际通知工程总价为准。</w:t>
      </w:r>
    </w:p>
    <w:p w14:paraId="0C48A583">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2.保险公司在收到全部理赔资料后一个星期内支付理赔款。</w:t>
      </w:r>
    </w:p>
    <w:p w14:paraId="245FE5C7">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3.涉及省外项目的相关保险出单时间，不得超过7天。</w:t>
      </w:r>
    </w:p>
    <w:p w14:paraId="0F00F698">
      <w:pPr>
        <w:widowControl w:val="0"/>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 xml:space="preserve">4.建工安责险的赔付不以第三人是否赔付为前提要件，无论第三人是否赔偿，乙方须按责予以赔付。 </w:t>
      </w:r>
    </w:p>
    <w:p w14:paraId="7F634E04">
      <w:pPr>
        <w:widowControl w:val="0"/>
        <w:spacing w:line="560" w:lineRule="exact"/>
        <w:ind w:firstLine="562" w:firstLineChars="200"/>
        <w:jc w:val="left"/>
        <w:rPr>
          <w:rFonts w:hint="eastAsia" w:asciiTheme="minorEastAsia" w:hAnsiTheme="minorEastAsia" w:cstheme="minorEastAsia"/>
          <w:b/>
          <w:bCs/>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bidi="ar"/>
        </w:rPr>
        <w:t xml:space="preserve">5.不需要提供安全等行政主管部门出具的证明资料。 </w:t>
      </w:r>
    </w:p>
    <w:p w14:paraId="567F028C">
      <w:pPr>
        <w:widowControl w:val="0"/>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 xml:space="preserve">6.甲方对事故发生是否存在过错不影响赔付金额。 </w:t>
      </w:r>
    </w:p>
    <w:p w14:paraId="17F743E5">
      <w:pPr>
        <w:widowControl w:val="0"/>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7.不以第三人是否赔付为前提要件；无论甲方在赔付前或赔付后，乙方不要求受益人放弃或转移向第三人主张赔偿权利。</w:t>
      </w:r>
    </w:p>
    <w:p w14:paraId="3A102601">
      <w:pPr>
        <w:widowControl w:val="0"/>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8.凡年龄为 16 至 65 周岁、能够正常工作或劳动的属甲方单位管理的员工皆可作为本合同的被保险人，含甲方公司直接聘用的员工以及甲方公司的劳务合作单位聘用的员工。</w:t>
      </w:r>
    </w:p>
    <w:p w14:paraId="5000D253">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9.</w:t>
      </w:r>
      <w:r>
        <w:rPr>
          <w:rFonts w:hint="eastAsia" w:asciiTheme="minorEastAsia" w:hAnsiTheme="minorEastAsia" w:cstheme="minorEastAsia"/>
          <w:color w:val="auto"/>
          <w:kern w:val="0"/>
          <w:sz w:val="28"/>
          <w:szCs w:val="28"/>
          <w:highlight w:val="none"/>
          <w:lang w:bidi="ar"/>
        </w:rPr>
        <w:t>甲方聘用的员工及劳务合作单位聘用的工人，在施工期间指定的生活区域内及施工期间的上下班途中，非本人主要责任出现的意外，属于保险责任。</w:t>
      </w:r>
    </w:p>
    <w:p w14:paraId="11F8809C">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10.甲方聘用的员工及劳务合作单位聘用的工人，遇发生事故（含交通事故）后，在任何合规合法的第三方鉴定机构或劳动部门、医院做的伤残鉴定，都应该予以认可。</w:t>
      </w:r>
    </w:p>
    <w:p w14:paraId="1C9BDC67">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11.建工团意险、建工雇主险（或建工安责险附加雇主责任）、建工安责险等三项险种死亡伤残赔付限额最高60万元/人，意外伤害医疗赔付最高赔付限额6万元/人，另均不计免赔（保险人认可的医疗机构诊疗所支出的必要合理的、符合当地社会医疗保险主管部门规定可报销的医疗费用，</w:t>
      </w:r>
      <w:r>
        <w:rPr>
          <w:rFonts w:hint="eastAsia" w:asciiTheme="minorEastAsia" w:hAnsiTheme="minorEastAsia" w:cstheme="minorEastAsia"/>
          <w:color w:val="auto"/>
          <w:kern w:val="0"/>
          <w:sz w:val="28"/>
          <w:szCs w:val="28"/>
          <w:highlight w:val="none"/>
          <w:lang w:bidi="ar"/>
        </w:rPr>
        <w:t>保险人认可的医疗机构诊疗所支出的必要合理的、符合当地社会医疗保险主管部门规定可报销的医疗费用，保险人每次理赔时在医疗保险金额范围内，扣除100元后按其实际支出的医疗费用的100%给付保险金。</w:t>
      </w:r>
    </w:p>
    <w:p w14:paraId="043834BB">
      <w:pPr>
        <w:widowControl w:val="0"/>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12.在合同履行过程中，我方在选择投保建工团意险、建工雇主险</w:t>
      </w:r>
      <w:r>
        <w:rPr>
          <w:rFonts w:hint="eastAsia" w:asciiTheme="minorEastAsia" w:hAnsiTheme="minorEastAsia" w:cstheme="minorEastAsia"/>
          <w:color w:val="auto"/>
          <w:sz w:val="28"/>
          <w:szCs w:val="28"/>
          <w:highlight w:val="none"/>
        </w:rPr>
        <w:t>（或建工安责险附加雇主责任）</w:t>
      </w:r>
      <w:r>
        <w:rPr>
          <w:rFonts w:hint="eastAsia" w:asciiTheme="minorEastAsia" w:hAnsiTheme="minorEastAsia" w:cstheme="minorEastAsia"/>
          <w:bCs/>
          <w:color w:val="auto"/>
          <w:sz w:val="28"/>
          <w:szCs w:val="28"/>
          <w:highlight w:val="none"/>
        </w:rPr>
        <w:t>、建工安责险时，三个险种的选择由我方视生产经营情况需要进行采购，每个工程项目不限定只采购单个险种。</w:t>
      </w:r>
    </w:p>
    <w:p w14:paraId="5C1A17FF">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13.所有险种伤残等级赔付不得低于十级10%，最次增高每级增加10%的标准。</w:t>
      </w:r>
    </w:p>
    <w:p w14:paraId="6BCFB6EC">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14.甲方购买保险的被保险人如因意外发生工伤，建工雇主险（或建工安责险附加雇主责任）、建工安责险的伤残等级由地方劳动人社部门出具的鉴定等级为准或由有资质的鉴定机构按照《劳动能力鉴定——职工工伤与职业病致残等级分级》（GB/T 16180-2014）鉴定的伤残等级为准，保险公司应予以认可，并按询比文件规定的伤残赔偿比例（附表）进行支付赔偿金。团体意外险的伤残等级适用中国保险行业协会、中国法医学会联合发布的人身保险伤残评定标准。</w:t>
      </w:r>
    </w:p>
    <w:p w14:paraId="674424C6">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 xml:space="preserve">15.若被保险人有 2 份以上保险的，我方保险理赔不以其他保险是否赔付作为理赔要件，即其他保险公司是否赔付或赔付的金额大小不影响我方的赔付结果及金额。 </w:t>
      </w:r>
    </w:p>
    <w:p w14:paraId="703F4EE3">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 xml:space="preserve">16.道路建筑工程一切险事故定损后，由甲方确定修理单位。如遇甲方确有困难时，积极协助甲方联系、落实修理单位。 </w:t>
      </w:r>
    </w:p>
    <w:p w14:paraId="39DFCB1D">
      <w:pPr>
        <w:widowControl w:val="0"/>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17.优先安排查勘定损，快速理算赔付。对单证齐全的赔案，金额在50000元以下的，3个工作日内赔付；金额在50000元以上的（含50000元），5个工作日内赔付。</w:t>
      </w:r>
    </w:p>
    <w:p w14:paraId="52C447DB">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18.甲方在省外的工程项目，考虑到保险单出单时效及理赔服务质量等因素，要求在甲方公司注册地进行投保出单。</w:t>
      </w:r>
    </w:p>
    <w:p w14:paraId="1D3D369C">
      <w:pPr>
        <w:widowControl w:val="0"/>
        <w:spacing w:line="560" w:lineRule="exact"/>
        <w:ind w:firstLine="560" w:firstLineChars="200"/>
        <w:jc w:val="left"/>
        <w:rPr>
          <w:rFonts w:hint="eastAsia" w:asciiTheme="minorEastAsia" w:hAnsiTheme="minorEastAsia" w:cstheme="minorEastAsia"/>
          <w:b w:val="0"/>
          <w:bCs w:val="0"/>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19.确定有两家成交</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的情况下，在履约过程中如若其中一家</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存在查勘不及时、定责不认责、核损不准确、赔付不到位、履约不完全等情况的，甲方有权利调整另一标包</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替代其</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资格并进行后续投保服务。如若中标</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只有一家，甲方则可提出交涉要求</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进行整改，如若不整改或者整改后仍无法履行合同约定，甲方有权利解除合</w:t>
      </w:r>
      <w:r>
        <w:rPr>
          <w:rFonts w:hint="eastAsia" w:asciiTheme="minorEastAsia" w:hAnsiTheme="minorEastAsia" w:cstheme="minorEastAsia"/>
          <w:b w:val="0"/>
          <w:bCs w:val="0"/>
          <w:color w:val="auto"/>
          <w:kern w:val="0"/>
          <w:sz w:val="28"/>
          <w:szCs w:val="28"/>
          <w:highlight w:val="none"/>
          <w:lang w:bidi="ar"/>
        </w:rPr>
        <w:t>同</w:t>
      </w:r>
      <w:r>
        <w:rPr>
          <w:rFonts w:ascii="Times New Roman" w:hAnsi="Times New Roman" w:cs="Times New Roman"/>
          <w:b w:val="0"/>
          <w:bCs w:val="0"/>
          <w:color w:val="auto"/>
          <w:sz w:val="28"/>
          <w:szCs w:val="28"/>
          <w:highlight w:val="none"/>
        </w:rPr>
        <w:t>，同时承担因违约给甲方造成的一切损失</w:t>
      </w:r>
      <w:r>
        <w:rPr>
          <w:rFonts w:hint="eastAsia" w:asciiTheme="minorEastAsia" w:hAnsiTheme="minorEastAsia" w:cstheme="minorEastAsia"/>
          <w:b w:val="0"/>
          <w:bCs w:val="0"/>
          <w:color w:val="auto"/>
          <w:kern w:val="0"/>
          <w:sz w:val="28"/>
          <w:szCs w:val="28"/>
          <w:highlight w:val="none"/>
          <w:lang w:bidi="ar"/>
        </w:rPr>
        <w:t>。</w:t>
      </w:r>
    </w:p>
    <w:p w14:paraId="2A4EF8B3">
      <w:pPr>
        <w:widowControl w:val="0"/>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20.</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须承保甲方项目发包的专业分包和劳务分包项目保险，可自行采取多种方式或模式进行承保，承保费率须参照</w:t>
      </w:r>
      <w:r>
        <w:rPr>
          <w:rFonts w:hint="eastAsia" w:asciiTheme="minorEastAsia" w:hAnsiTheme="minorEastAsia" w:cstheme="minorEastAsia"/>
          <w:color w:val="auto"/>
          <w:kern w:val="0"/>
          <w:sz w:val="28"/>
          <w:szCs w:val="28"/>
          <w:highlight w:val="none"/>
          <w:lang w:eastAsia="zh-CN" w:bidi="ar"/>
        </w:rPr>
        <w:t>安徽交控工程集团有限公司</w:t>
      </w:r>
      <w:r>
        <w:rPr>
          <w:rFonts w:hint="eastAsia" w:asciiTheme="minorEastAsia" w:hAnsiTheme="minorEastAsia" w:cstheme="minorEastAsia"/>
          <w:color w:val="auto"/>
          <w:kern w:val="0"/>
          <w:sz w:val="28"/>
          <w:szCs w:val="28"/>
          <w:highlight w:val="none"/>
          <w:lang w:bidi="ar"/>
        </w:rPr>
        <w:t>响应成交费率下调幅度同比例进行下调。涉及的工程类型有：道路养护、桥隧、园林及道路绿化、路基路面、机电安装、预制件等施工分包或劳务合作合同，建工安责险、建</w:t>
      </w:r>
      <w:r>
        <w:rPr>
          <w:rFonts w:hint="eastAsia" w:asciiTheme="minorEastAsia" w:hAnsiTheme="minorEastAsia" w:cstheme="minorEastAsia"/>
          <w:color w:val="auto"/>
          <w:kern w:val="0"/>
          <w:sz w:val="28"/>
          <w:szCs w:val="28"/>
          <w:highlight w:val="none"/>
          <w:lang w:val="en-US" w:eastAsia="zh-CN" w:bidi="ar"/>
        </w:rPr>
        <w:t>工</w:t>
      </w:r>
      <w:r>
        <w:rPr>
          <w:rFonts w:hint="eastAsia" w:asciiTheme="minorEastAsia" w:hAnsiTheme="minorEastAsia" w:cstheme="minorEastAsia"/>
          <w:color w:val="auto"/>
          <w:kern w:val="0"/>
          <w:sz w:val="28"/>
          <w:szCs w:val="28"/>
          <w:highlight w:val="none"/>
          <w:lang w:bidi="ar"/>
        </w:rPr>
        <w:t>雇主险、建工团意险保险方案：保额人身伤亡赔偿限额60万元/人、意外医疗赔偿限额6万元/人、每次事故责任限额不低于300万元、累计责任限额不低于500万元；伤残等级赔付不得低于十级10%，最次增高每级增加10%的标准；</w:t>
      </w:r>
      <w:r>
        <w:rPr>
          <w:rFonts w:hint="eastAsia" w:asciiTheme="minorEastAsia" w:hAnsiTheme="minorEastAsia" w:cstheme="minorEastAsia"/>
          <w:b/>
          <w:bCs/>
          <w:color w:val="auto"/>
          <w:kern w:val="0"/>
          <w:sz w:val="28"/>
          <w:szCs w:val="28"/>
          <w:highlight w:val="none"/>
          <w:lang w:bidi="ar"/>
        </w:rPr>
        <w:t>不需要提供安全等行政主管部门出具的证明资料。</w:t>
      </w:r>
      <w:r>
        <w:rPr>
          <w:rFonts w:hint="eastAsia" w:asciiTheme="minorEastAsia" w:hAnsiTheme="minorEastAsia" w:cstheme="minorEastAsia"/>
          <w:color w:val="auto"/>
          <w:kern w:val="0"/>
          <w:sz w:val="28"/>
          <w:szCs w:val="28"/>
          <w:highlight w:val="none"/>
          <w:lang w:bidi="ar"/>
        </w:rPr>
        <w:t>甲方与劳务分包公司联合投保，受益人为劳务公司，保费由甲方代为支付。</w:t>
      </w:r>
    </w:p>
    <w:p w14:paraId="5BF679C0">
      <w:pPr>
        <w:pStyle w:val="14"/>
        <w:widowControl w:val="0"/>
        <w:spacing w:after="0" w:line="560" w:lineRule="exact"/>
        <w:ind w:firstLine="562"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kern w:val="0"/>
          <w:sz w:val="28"/>
          <w:szCs w:val="28"/>
          <w:highlight w:val="none"/>
          <w:lang w:bidi="ar"/>
        </w:rPr>
        <w:t>21.以上保险条款及费率，适用本公司所属其他子分公司。</w:t>
      </w:r>
    </w:p>
    <w:p w14:paraId="3F7B41AE">
      <w:pPr>
        <w:widowControl w:val="0"/>
        <w:spacing w:line="560" w:lineRule="exact"/>
        <w:ind w:firstLine="562" w:firstLineChars="200"/>
        <w:jc w:val="left"/>
        <w:rPr>
          <w:rFonts w:hint="eastAsia" w:asciiTheme="minorEastAsia" w:hAnsiTheme="minorEastAsia" w:cstheme="minorEastAsia"/>
          <w:b/>
          <w:bCs/>
          <w:color w:val="auto"/>
          <w:sz w:val="28"/>
          <w:szCs w:val="28"/>
          <w:highlight w:val="none"/>
        </w:rPr>
        <w:sectPr>
          <w:headerReference r:id="rId6" w:type="default"/>
          <w:footerReference r:id="rId7" w:type="default"/>
          <w:pgSz w:w="11906" w:h="16838"/>
          <w:pgMar w:top="1134" w:right="1134" w:bottom="364"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0D40C078">
      <w:pPr>
        <w:pStyle w:val="2"/>
        <w:keepNext w:val="0"/>
        <w:keepLines w:val="0"/>
        <w:numPr>
          <w:ilvl w:val="0"/>
          <w:numId w:val="0"/>
        </w:numPr>
        <w:spacing w:before="240" w:after="240"/>
        <w:ind w:left="432" w:hanging="432"/>
        <w:rPr>
          <w:rFonts w:ascii="Times New Roman" w:hAnsi="Times New Roman" w:eastAsia="黑体" w:cs="Times New Roman"/>
          <w:color w:val="auto"/>
          <w:highlight w:val="none"/>
        </w:rPr>
      </w:pPr>
      <w:bookmarkStart w:id="132" w:name="_Toc10911"/>
      <w:r>
        <w:rPr>
          <w:rFonts w:ascii="Times New Roman" w:hAnsi="Times New Roman" w:eastAsia="黑体" w:cs="Times New Roman"/>
          <w:color w:val="auto"/>
          <w:highlight w:val="none"/>
        </w:rPr>
        <w:t>第六章 响应文件格式</w:t>
      </w:r>
      <w:bookmarkEnd w:id="132"/>
    </w:p>
    <w:p w14:paraId="6C789946">
      <w:pPr>
        <w:jc w:val="center"/>
        <w:rPr>
          <w:rFonts w:hint="eastAsia" w:ascii="Times New Roman" w:hAnsi="Times New Roman" w:eastAsia="黑体" w:cs="Times New Roman"/>
          <w:color w:val="auto"/>
          <w:sz w:val="28"/>
          <w:szCs w:val="28"/>
          <w:highlight w:val="none"/>
          <w:u w:val="none"/>
        </w:rPr>
      </w:pPr>
      <w:bookmarkStart w:id="133" w:name="_Toc21974_WPSOffice_Level2"/>
      <w:bookmarkStart w:id="134" w:name="_Toc22351_WPSOffice_Level2"/>
      <w:r>
        <w:rPr>
          <w:rFonts w:hint="default" w:ascii="Times New Roman" w:hAnsi="Times New Roman" w:eastAsia="黑体" w:cs="Times New Roman"/>
          <w:color w:val="auto"/>
          <w:sz w:val="52"/>
          <w:szCs w:val="52"/>
          <w:highlight w:val="none"/>
          <w:u w:val="none"/>
        </w:rPr>
        <w:t>安徽交控工程集团有限公司保险服务项目采购</w:t>
      </w:r>
      <w:r>
        <w:rPr>
          <w:rFonts w:hint="eastAsia" w:ascii="Times New Roman" w:hAnsi="Times New Roman" w:eastAsia="黑体" w:cs="Times New Roman"/>
          <w:color w:val="auto"/>
          <w:sz w:val="52"/>
          <w:szCs w:val="52"/>
          <w:highlight w:val="none"/>
          <w:u w:val="none"/>
          <w:lang w:eastAsia="zh-CN"/>
        </w:rPr>
        <w:t>（03标包）</w:t>
      </w:r>
    </w:p>
    <w:p w14:paraId="14916690">
      <w:pPr>
        <w:spacing w:line="440" w:lineRule="exact"/>
        <w:rPr>
          <w:rFonts w:ascii="Times New Roman" w:hAnsi="Times New Roman" w:eastAsia="黑体" w:cs="Times New Roman"/>
          <w:color w:val="auto"/>
          <w:sz w:val="20"/>
          <w:szCs w:val="20"/>
          <w:highlight w:val="none"/>
        </w:rPr>
      </w:pPr>
      <w:r>
        <w:rPr>
          <w:rFonts w:ascii="Times New Roman" w:hAnsi="Times New Roman" w:eastAsia="黑体" w:cs="Times New Roman"/>
          <w:color w:val="auto"/>
          <w:sz w:val="20"/>
          <w:szCs w:val="20"/>
          <w:highlight w:val="none"/>
        </w:rPr>
        <w:t xml:space="preserve"> </w:t>
      </w:r>
    </w:p>
    <w:p w14:paraId="7ED2E713">
      <w:pPr>
        <w:spacing w:line="440" w:lineRule="exact"/>
        <w:rPr>
          <w:rFonts w:ascii="Times New Roman" w:hAnsi="Times New Roman" w:eastAsia="黑体" w:cs="Times New Roman"/>
          <w:color w:val="auto"/>
          <w:sz w:val="40"/>
          <w:szCs w:val="40"/>
          <w:highlight w:val="none"/>
        </w:rPr>
      </w:pPr>
    </w:p>
    <w:p w14:paraId="40EFCB3A">
      <w:pPr>
        <w:spacing w:line="440" w:lineRule="exact"/>
        <w:jc w:val="center"/>
        <w:rPr>
          <w:rFonts w:ascii="Times New Roman" w:hAnsi="Times New Roman" w:eastAsia="黑体" w:cs="Times New Roman"/>
          <w:color w:val="auto"/>
          <w:sz w:val="40"/>
          <w:szCs w:val="40"/>
          <w:highlight w:val="none"/>
        </w:rPr>
      </w:pPr>
    </w:p>
    <w:p w14:paraId="54EB8772">
      <w:pPr>
        <w:pStyle w:val="14"/>
        <w:rPr>
          <w:rFonts w:ascii="Times New Roman" w:hAnsi="Times New Roman" w:eastAsia="黑体" w:cs="Times New Roman"/>
          <w:color w:val="auto"/>
          <w:sz w:val="40"/>
          <w:szCs w:val="40"/>
          <w:highlight w:val="none"/>
        </w:rPr>
      </w:pPr>
    </w:p>
    <w:p w14:paraId="31E65A32">
      <w:pPr>
        <w:pStyle w:val="14"/>
        <w:rPr>
          <w:rFonts w:ascii="Times New Roman" w:hAnsi="Times New Roman" w:eastAsia="黑体" w:cs="Times New Roman"/>
          <w:color w:val="auto"/>
          <w:sz w:val="40"/>
          <w:szCs w:val="40"/>
          <w:highlight w:val="none"/>
        </w:rPr>
      </w:pPr>
    </w:p>
    <w:p w14:paraId="618B6FAD">
      <w:pPr>
        <w:pStyle w:val="14"/>
        <w:rPr>
          <w:rFonts w:ascii="Times New Roman" w:hAnsi="Times New Roman" w:eastAsia="黑体" w:cs="Times New Roman"/>
          <w:color w:val="auto"/>
          <w:sz w:val="40"/>
          <w:szCs w:val="40"/>
          <w:highlight w:val="none"/>
        </w:rPr>
      </w:pPr>
    </w:p>
    <w:p w14:paraId="6A6A8966">
      <w:pPr>
        <w:spacing w:line="440" w:lineRule="exact"/>
        <w:jc w:val="center"/>
        <w:rPr>
          <w:rFonts w:ascii="Times New Roman" w:hAnsi="Times New Roman" w:eastAsia="黑体" w:cs="Times New Roman"/>
          <w:color w:val="auto"/>
          <w:sz w:val="40"/>
          <w:szCs w:val="40"/>
          <w:highlight w:val="none"/>
        </w:rPr>
      </w:pPr>
    </w:p>
    <w:p w14:paraId="64F5DF6A">
      <w:pPr>
        <w:spacing w:line="440" w:lineRule="exact"/>
        <w:jc w:val="center"/>
        <w:rPr>
          <w:rFonts w:ascii="Times New Roman" w:hAnsi="Times New Roman" w:eastAsia="黑体" w:cs="Times New Roman"/>
          <w:color w:val="auto"/>
          <w:sz w:val="40"/>
          <w:szCs w:val="40"/>
          <w:highlight w:val="none"/>
        </w:rPr>
      </w:pPr>
    </w:p>
    <w:p w14:paraId="19F2F0BD">
      <w:pPr>
        <w:jc w:val="center"/>
        <w:outlineLvl w:val="0"/>
        <w:rPr>
          <w:rFonts w:ascii="Times New Roman" w:hAnsi="Times New Roman" w:eastAsia="黑体" w:cs="Times New Roman"/>
          <w:color w:val="auto"/>
          <w:sz w:val="96"/>
          <w:szCs w:val="96"/>
          <w:highlight w:val="none"/>
        </w:rPr>
      </w:pPr>
      <w:bookmarkStart w:id="135" w:name="_Toc1364"/>
      <w:bookmarkStart w:id="136" w:name="_Toc17394_WPSOffice_Level1"/>
      <w:bookmarkStart w:id="137" w:name="_Toc1914_WPSOffice_Level1"/>
      <w:bookmarkStart w:id="138" w:name="_Toc1438"/>
      <w:bookmarkStart w:id="139" w:name="_Toc31498"/>
      <w:bookmarkStart w:id="140" w:name="_Toc27552_WPSOffice_Level1"/>
      <w:bookmarkStart w:id="141" w:name="_Toc8593"/>
      <w:bookmarkStart w:id="142" w:name="_Toc13481"/>
      <w:r>
        <w:rPr>
          <w:rFonts w:ascii="Times New Roman" w:hAnsi="Times New Roman" w:eastAsia="黑体" w:cs="Times New Roman"/>
          <w:color w:val="auto"/>
          <w:sz w:val="96"/>
          <w:szCs w:val="96"/>
          <w:highlight w:val="none"/>
        </w:rPr>
        <w:t>响  应  文  件</w:t>
      </w:r>
      <w:bookmarkEnd w:id="135"/>
      <w:bookmarkEnd w:id="136"/>
      <w:bookmarkEnd w:id="137"/>
      <w:bookmarkEnd w:id="138"/>
      <w:bookmarkEnd w:id="139"/>
      <w:bookmarkEnd w:id="140"/>
      <w:bookmarkEnd w:id="141"/>
      <w:bookmarkEnd w:id="142"/>
    </w:p>
    <w:p w14:paraId="4DFBB7A2">
      <w:pPr>
        <w:spacing w:line="440" w:lineRule="exact"/>
        <w:rPr>
          <w:rFonts w:ascii="Times New Roman" w:hAnsi="Times New Roman" w:eastAsia="黑体" w:cs="Times New Roman"/>
          <w:color w:val="auto"/>
          <w:sz w:val="20"/>
          <w:szCs w:val="20"/>
          <w:highlight w:val="none"/>
        </w:rPr>
      </w:pPr>
    </w:p>
    <w:p w14:paraId="2F69D88E">
      <w:pPr>
        <w:spacing w:line="440" w:lineRule="exact"/>
        <w:rPr>
          <w:rFonts w:ascii="Times New Roman" w:hAnsi="Times New Roman" w:eastAsia="黑体" w:cs="Times New Roman"/>
          <w:color w:val="auto"/>
          <w:sz w:val="20"/>
          <w:szCs w:val="20"/>
          <w:highlight w:val="none"/>
        </w:rPr>
      </w:pPr>
    </w:p>
    <w:p w14:paraId="1C39E8DA">
      <w:pPr>
        <w:spacing w:line="440" w:lineRule="exact"/>
        <w:rPr>
          <w:rFonts w:ascii="Times New Roman" w:hAnsi="Times New Roman" w:eastAsia="黑体" w:cs="Times New Roman"/>
          <w:color w:val="auto"/>
          <w:sz w:val="20"/>
          <w:szCs w:val="20"/>
          <w:highlight w:val="none"/>
        </w:rPr>
      </w:pPr>
    </w:p>
    <w:p w14:paraId="19E9AA84">
      <w:pPr>
        <w:spacing w:line="440" w:lineRule="exact"/>
        <w:rPr>
          <w:rFonts w:ascii="Times New Roman" w:hAnsi="Times New Roman" w:eastAsia="黑体" w:cs="Times New Roman"/>
          <w:color w:val="auto"/>
          <w:sz w:val="20"/>
          <w:szCs w:val="20"/>
          <w:highlight w:val="none"/>
        </w:rPr>
      </w:pPr>
    </w:p>
    <w:p w14:paraId="6F9D4BC9">
      <w:pPr>
        <w:spacing w:line="440" w:lineRule="exact"/>
        <w:rPr>
          <w:rFonts w:ascii="Times New Roman" w:hAnsi="Times New Roman" w:eastAsia="黑体" w:cs="Times New Roman"/>
          <w:color w:val="auto"/>
          <w:sz w:val="20"/>
          <w:szCs w:val="20"/>
          <w:highlight w:val="none"/>
        </w:rPr>
      </w:pPr>
    </w:p>
    <w:p w14:paraId="31E83A0D">
      <w:pPr>
        <w:spacing w:line="440" w:lineRule="exact"/>
        <w:rPr>
          <w:rFonts w:ascii="Times New Roman" w:hAnsi="Times New Roman" w:eastAsia="黑体" w:cs="Times New Roman"/>
          <w:color w:val="auto"/>
          <w:sz w:val="20"/>
          <w:szCs w:val="20"/>
          <w:highlight w:val="none"/>
        </w:rPr>
      </w:pPr>
    </w:p>
    <w:p w14:paraId="79528876">
      <w:pPr>
        <w:spacing w:line="440" w:lineRule="exact"/>
        <w:rPr>
          <w:rFonts w:ascii="Times New Roman" w:hAnsi="Times New Roman" w:eastAsia="黑体" w:cs="Times New Roman"/>
          <w:color w:val="auto"/>
          <w:sz w:val="20"/>
          <w:szCs w:val="20"/>
          <w:highlight w:val="none"/>
        </w:rPr>
      </w:pPr>
    </w:p>
    <w:p w14:paraId="7494B702">
      <w:pPr>
        <w:spacing w:line="440" w:lineRule="exact"/>
        <w:rPr>
          <w:rFonts w:ascii="Times New Roman" w:hAnsi="Times New Roman" w:eastAsia="黑体" w:cs="Times New Roman"/>
          <w:color w:val="auto"/>
          <w:sz w:val="20"/>
          <w:szCs w:val="20"/>
          <w:highlight w:val="none"/>
        </w:rPr>
      </w:pPr>
    </w:p>
    <w:p w14:paraId="6DA6B79F">
      <w:pPr>
        <w:spacing w:line="440" w:lineRule="exact"/>
        <w:rPr>
          <w:rFonts w:ascii="Times New Roman" w:hAnsi="Times New Roman" w:eastAsia="黑体" w:cs="Times New Roman"/>
          <w:color w:val="auto"/>
          <w:sz w:val="20"/>
          <w:szCs w:val="20"/>
          <w:highlight w:val="none"/>
        </w:rPr>
      </w:pPr>
    </w:p>
    <w:p w14:paraId="4679C151">
      <w:pPr>
        <w:spacing w:line="440" w:lineRule="exact"/>
        <w:rPr>
          <w:rFonts w:ascii="Times New Roman" w:hAnsi="Times New Roman" w:eastAsia="黑体" w:cs="Times New Roman"/>
          <w:color w:val="auto"/>
          <w:sz w:val="20"/>
          <w:szCs w:val="20"/>
          <w:highlight w:val="none"/>
        </w:rPr>
      </w:pPr>
    </w:p>
    <w:p w14:paraId="13297E38">
      <w:pPr>
        <w:spacing w:line="440" w:lineRule="exact"/>
        <w:ind w:firstLine="0" w:firstLineChars="0"/>
        <w:jc w:val="center"/>
        <w:outlineLvl w:val="0"/>
        <w:rPr>
          <w:rFonts w:ascii="Times New Roman" w:hAnsi="Times New Roman" w:eastAsia="黑体" w:cs="Times New Roman"/>
          <w:color w:val="auto"/>
          <w:sz w:val="36"/>
          <w:szCs w:val="36"/>
          <w:highlight w:val="none"/>
        </w:rPr>
      </w:pPr>
      <w:bookmarkStart w:id="143" w:name="_Toc20867"/>
      <w:bookmarkStart w:id="144" w:name="_Toc12519"/>
      <w:bookmarkStart w:id="145" w:name="_Toc5520_WPSOffice_Level2"/>
      <w:bookmarkStart w:id="146" w:name="_Toc18840"/>
      <w:bookmarkStart w:id="147" w:name="_Toc25232_WPSOffice_Level2"/>
      <w:bookmarkStart w:id="148" w:name="_Toc15920"/>
      <w:r>
        <w:rPr>
          <w:rFonts w:hint="eastAsia" w:ascii="Times New Roman" w:hAnsi="Times New Roman" w:eastAsia="黑体" w:cs="Times New Roman"/>
          <w:color w:val="auto"/>
          <w:sz w:val="36"/>
          <w:szCs w:val="36"/>
          <w:highlight w:val="none"/>
          <w:lang w:eastAsia="zh-CN"/>
        </w:rPr>
        <w:t>服务商</w:t>
      </w:r>
      <w:r>
        <w:rPr>
          <w:rFonts w:ascii="Times New Roman" w:hAnsi="Times New Roman" w:eastAsia="黑体" w:cs="Times New Roman"/>
          <w:color w:val="auto"/>
          <w:sz w:val="36"/>
          <w:szCs w:val="36"/>
          <w:highlight w:val="none"/>
        </w:rPr>
        <w:t>：</w:t>
      </w:r>
      <w:r>
        <w:rPr>
          <w:rFonts w:ascii="Times New Roman" w:hAnsi="Times New Roman" w:eastAsia="黑体" w:cs="Times New Roman"/>
          <w:color w:val="auto"/>
          <w:sz w:val="36"/>
          <w:szCs w:val="36"/>
          <w:highlight w:val="none"/>
          <w:u w:val="single"/>
        </w:rPr>
        <w:t xml:space="preserve">                      (全称、盖单位章)</w:t>
      </w:r>
      <w:bookmarkEnd w:id="143"/>
      <w:bookmarkEnd w:id="144"/>
      <w:bookmarkEnd w:id="145"/>
      <w:bookmarkEnd w:id="146"/>
      <w:bookmarkEnd w:id="147"/>
      <w:bookmarkEnd w:id="148"/>
    </w:p>
    <w:p w14:paraId="53B73E1E">
      <w:pPr>
        <w:spacing w:line="440" w:lineRule="exact"/>
        <w:ind w:firstLine="2775" w:firstLineChars="771"/>
        <w:rPr>
          <w:rFonts w:ascii="Times New Roman" w:hAnsi="Times New Roman" w:eastAsia="黑体" w:cs="Times New Roman"/>
          <w:color w:val="auto"/>
          <w:sz w:val="36"/>
          <w:szCs w:val="36"/>
          <w:highlight w:val="none"/>
        </w:rPr>
      </w:pPr>
    </w:p>
    <w:p w14:paraId="25B4132B">
      <w:pPr>
        <w:spacing w:line="440" w:lineRule="exact"/>
        <w:jc w:val="center"/>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u w:val="single"/>
        </w:rPr>
        <w:t xml:space="preserve">     </w:t>
      </w:r>
      <w:bookmarkStart w:id="149" w:name="_Toc20076_WPSOffice_Level2"/>
      <w:bookmarkStart w:id="150" w:name="_Toc31577_WPSOffice_Level2"/>
      <w:r>
        <w:rPr>
          <w:rFonts w:ascii="Times New Roman" w:hAnsi="Times New Roman" w:eastAsia="黑体" w:cs="Times New Roman"/>
          <w:color w:val="auto"/>
          <w:sz w:val="36"/>
          <w:szCs w:val="36"/>
          <w:highlight w:val="none"/>
        </w:rPr>
        <w:t>年</w:t>
      </w:r>
      <w:r>
        <w:rPr>
          <w:rFonts w:ascii="Times New Roman" w:hAnsi="Times New Roman" w:eastAsia="黑体" w:cs="Times New Roman"/>
          <w:color w:val="auto"/>
          <w:sz w:val="36"/>
          <w:szCs w:val="36"/>
          <w:highlight w:val="none"/>
          <w:u w:val="single"/>
        </w:rPr>
        <w:t xml:space="preserve">     </w:t>
      </w:r>
      <w:r>
        <w:rPr>
          <w:rFonts w:ascii="Times New Roman" w:hAnsi="Times New Roman" w:eastAsia="黑体" w:cs="Times New Roman"/>
          <w:color w:val="auto"/>
          <w:sz w:val="36"/>
          <w:szCs w:val="36"/>
          <w:highlight w:val="none"/>
        </w:rPr>
        <w:t>月</w:t>
      </w:r>
      <w:r>
        <w:rPr>
          <w:rFonts w:ascii="Times New Roman" w:hAnsi="Times New Roman" w:eastAsia="黑体" w:cs="Times New Roman"/>
          <w:color w:val="auto"/>
          <w:sz w:val="36"/>
          <w:szCs w:val="36"/>
          <w:highlight w:val="none"/>
          <w:u w:val="single"/>
        </w:rPr>
        <w:t xml:space="preserve">     </w:t>
      </w:r>
      <w:r>
        <w:rPr>
          <w:rFonts w:ascii="Times New Roman" w:hAnsi="Times New Roman" w:eastAsia="黑体" w:cs="Times New Roman"/>
          <w:color w:val="auto"/>
          <w:sz w:val="36"/>
          <w:szCs w:val="36"/>
          <w:highlight w:val="none"/>
        </w:rPr>
        <w:t>日</w:t>
      </w:r>
      <w:bookmarkEnd w:id="149"/>
      <w:bookmarkEnd w:id="150"/>
    </w:p>
    <w:p w14:paraId="45B52A1B">
      <w:pPr>
        <w:spacing w:line="440" w:lineRule="exact"/>
        <w:jc w:val="center"/>
        <w:rPr>
          <w:rFonts w:ascii="Times New Roman" w:hAnsi="Times New Roman" w:eastAsia="黑体" w:cs="Times New Roman"/>
          <w:color w:val="auto"/>
          <w:sz w:val="52"/>
          <w:szCs w:val="52"/>
          <w:highlight w:val="none"/>
        </w:rPr>
      </w:pPr>
    </w:p>
    <w:p w14:paraId="479DAD1B">
      <w:pPr>
        <w:spacing w:line="440" w:lineRule="exact"/>
        <w:jc w:val="center"/>
        <w:rPr>
          <w:rFonts w:ascii="Times New Roman" w:hAnsi="Times New Roman" w:eastAsia="黑体" w:cs="Times New Roman"/>
          <w:color w:val="auto"/>
          <w:sz w:val="44"/>
          <w:szCs w:val="44"/>
          <w:highlight w:val="none"/>
        </w:rPr>
      </w:pPr>
    </w:p>
    <w:p w14:paraId="12436CC9">
      <w:pPr>
        <w:pStyle w:val="30"/>
        <w:rPr>
          <w:rFonts w:ascii="Times New Roman" w:hAnsi="Times New Roman" w:eastAsia="黑体" w:cs="Times New Roman"/>
          <w:color w:val="auto"/>
          <w:sz w:val="44"/>
          <w:szCs w:val="44"/>
          <w:highlight w:val="none"/>
        </w:rPr>
      </w:pPr>
    </w:p>
    <w:p w14:paraId="7F8472E5">
      <w:pPr>
        <w:pStyle w:val="14"/>
        <w:rPr>
          <w:rFonts w:ascii="Times New Roman" w:hAnsi="Times New Roman" w:eastAsia="黑体" w:cs="Times New Roman"/>
          <w:color w:val="auto"/>
          <w:sz w:val="44"/>
          <w:szCs w:val="44"/>
          <w:highlight w:val="none"/>
        </w:rPr>
      </w:pPr>
    </w:p>
    <w:bookmarkEnd w:id="133"/>
    <w:bookmarkEnd w:id="134"/>
    <w:p w14:paraId="7D9F6D24">
      <w:pPr>
        <w:spacing w:line="500" w:lineRule="exact"/>
        <w:ind w:left="1619" w:leftChars="771"/>
        <w:rPr>
          <w:rFonts w:ascii="Times New Roman" w:hAnsi="Times New Roman" w:eastAsia="黑体" w:cs="Times New Roman"/>
          <w:color w:val="auto"/>
          <w:sz w:val="28"/>
          <w:szCs w:val="28"/>
          <w:highlight w:val="none"/>
        </w:rPr>
      </w:pPr>
    </w:p>
    <w:p w14:paraId="1976ECA5">
      <w:pPr>
        <w:spacing w:line="480" w:lineRule="auto"/>
        <w:jc w:val="center"/>
        <w:outlineLvl w:val="1"/>
        <w:rPr>
          <w:rFonts w:ascii="Times New Roman" w:hAnsi="Times New Roman" w:eastAsia="宋体" w:cs="Times New Roman"/>
          <w:b/>
          <w:bCs/>
          <w:color w:val="auto"/>
          <w:sz w:val="44"/>
          <w:szCs w:val="44"/>
          <w:highlight w:val="none"/>
        </w:rPr>
      </w:pPr>
      <w:r>
        <w:rPr>
          <w:rFonts w:ascii="Times New Roman" w:hAnsi="Times New Roman" w:eastAsia="宋体" w:cs="Times New Roman"/>
          <w:b/>
          <w:bCs/>
          <w:color w:val="auto"/>
          <w:sz w:val="44"/>
          <w:szCs w:val="44"/>
          <w:highlight w:val="none"/>
        </w:rPr>
        <w:t>目     录</w:t>
      </w:r>
    </w:p>
    <w:p w14:paraId="3D73A705">
      <w:pPr>
        <w:spacing w:line="480" w:lineRule="auto"/>
        <w:rPr>
          <w:rFonts w:ascii="Times New Roman" w:hAnsi="Times New Roman" w:eastAsia="宋体" w:cs="Times New Roman"/>
          <w:b/>
          <w:bCs/>
          <w:color w:val="auto"/>
          <w:sz w:val="28"/>
          <w:szCs w:val="28"/>
          <w:highlight w:val="none"/>
        </w:rPr>
      </w:pPr>
    </w:p>
    <w:p w14:paraId="20DAB39B">
      <w:pPr>
        <w:spacing w:line="480" w:lineRule="auto"/>
        <w:ind w:left="1619" w:leftChars="771"/>
        <w:outlineLvl w:val="0"/>
        <w:rPr>
          <w:rFonts w:ascii="Times New Roman" w:hAnsi="Times New Roman" w:eastAsia="宋体" w:cs="Times New Roman"/>
          <w:b/>
          <w:bCs/>
          <w:color w:val="auto"/>
          <w:sz w:val="28"/>
          <w:szCs w:val="28"/>
          <w:highlight w:val="none"/>
        </w:rPr>
      </w:pPr>
      <w:bookmarkStart w:id="151" w:name="_Toc6353_WPSOffice_Level1"/>
      <w:bookmarkStart w:id="152" w:name="_Toc23368_WPSOffice_Level1"/>
      <w:bookmarkStart w:id="153" w:name="_Toc24635"/>
      <w:bookmarkStart w:id="154" w:name="_Toc11424_WPSOffice_Level1"/>
      <w:bookmarkStart w:id="155" w:name="_Toc30529_WPSOffice_Level1"/>
      <w:bookmarkStart w:id="156" w:name="_Toc31837"/>
      <w:bookmarkStart w:id="157" w:name="_Toc13644"/>
      <w:bookmarkStart w:id="158" w:name="_Toc13371"/>
      <w:bookmarkStart w:id="159" w:name="_Toc12670_WPSOffice_Level1"/>
      <w:r>
        <w:rPr>
          <w:rFonts w:ascii="Times New Roman" w:hAnsi="Times New Roman" w:eastAsia="宋体" w:cs="Times New Roman"/>
          <w:b/>
          <w:bCs/>
          <w:color w:val="auto"/>
          <w:sz w:val="28"/>
          <w:szCs w:val="28"/>
          <w:highlight w:val="none"/>
        </w:rPr>
        <w:t>一、报价函</w:t>
      </w:r>
      <w:bookmarkEnd w:id="151"/>
      <w:bookmarkEnd w:id="152"/>
      <w:bookmarkEnd w:id="153"/>
      <w:bookmarkEnd w:id="154"/>
      <w:bookmarkEnd w:id="155"/>
      <w:bookmarkEnd w:id="156"/>
      <w:bookmarkEnd w:id="157"/>
      <w:bookmarkEnd w:id="158"/>
    </w:p>
    <w:p w14:paraId="29765829">
      <w:pPr>
        <w:spacing w:line="480" w:lineRule="auto"/>
        <w:ind w:left="1619" w:leftChars="771"/>
        <w:outlineLvl w:val="0"/>
        <w:rPr>
          <w:rFonts w:ascii="Times New Roman" w:hAnsi="Times New Roman" w:eastAsia="宋体" w:cs="Times New Roman"/>
          <w:b/>
          <w:bCs/>
          <w:color w:val="auto"/>
          <w:sz w:val="28"/>
          <w:szCs w:val="28"/>
          <w:highlight w:val="none"/>
        </w:rPr>
      </w:pPr>
      <w:bookmarkStart w:id="160" w:name="_Toc32729_WPSOffice_Level1"/>
      <w:bookmarkStart w:id="161" w:name="_Toc5317_WPSOffice_Level1"/>
      <w:bookmarkStart w:id="162" w:name="_Toc31927_WPSOffice_Level1"/>
      <w:bookmarkStart w:id="163" w:name="_Toc21229_WPSOffice_Level1"/>
      <w:bookmarkStart w:id="164" w:name="_Toc7954"/>
      <w:bookmarkStart w:id="165" w:name="_Toc29740"/>
      <w:bookmarkStart w:id="166" w:name="_Toc23940"/>
      <w:bookmarkStart w:id="167" w:name="_Toc31043"/>
      <w:r>
        <w:rPr>
          <w:rFonts w:ascii="Times New Roman" w:hAnsi="Times New Roman" w:eastAsia="宋体" w:cs="Times New Roman"/>
          <w:b/>
          <w:bCs/>
          <w:color w:val="auto"/>
          <w:sz w:val="28"/>
          <w:szCs w:val="28"/>
          <w:highlight w:val="none"/>
        </w:rPr>
        <w:t>二、法定代表人身份证明及授权委托书</w:t>
      </w:r>
      <w:bookmarkEnd w:id="160"/>
      <w:bookmarkEnd w:id="161"/>
      <w:bookmarkEnd w:id="162"/>
      <w:bookmarkEnd w:id="163"/>
      <w:bookmarkEnd w:id="164"/>
      <w:bookmarkEnd w:id="165"/>
      <w:bookmarkEnd w:id="166"/>
      <w:bookmarkEnd w:id="167"/>
    </w:p>
    <w:p w14:paraId="36E16557">
      <w:pPr>
        <w:spacing w:line="480" w:lineRule="auto"/>
        <w:ind w:left="1619" w:leftChars="771"/>
        <w:outlineLvl w:val="0"/>
        <w:rPr>
          <w:rFonts w:ascii="Times New Roman" w:hAnsi="Times New Roman" w:eastAsia="宋体" w:cs="Times New Roman"/>
          <w:b/>
          <w:bCs/>
          <w:color w:val="auto"/>
          <w:sz w:val="28"/>
          <w:szCs w:val="28"/>
          <w:highlight w:val="none"/>
        </w:rPr>
      </w:pPr>
      <w:bookmarkStart w:id="168" w:name="_Toc25965_WPSOffice_Level1"/>
      <w:bookmarkStart w:id="169" w:name="_Toc23356_WPSOffice_Level1"/>
      <w:bookmarkStart w:id="170" w:name="_Toc4728_WPSOffice_Level1"/>
      <w:bookmarkStart w:id="171" w:name="_Toc29085_WPSOffice_Level1"/>
      <w:bookmarkStart w:id="172" w:name="_Toc23070"/>
      <w:bookmarkStart w:id="173" w:name="_Toc10074"/>
      <w:bookmarkStart w:id="174" w:name="_Toc27110"/>
      <w:bookmarkStart w:id="175" w:name="_Toc16600"/>
      <w:r>
        <w:rPr>
          <w:rFonts w:ascii="Times New Roman" w:hAnsi="Times New Roman" w:eastAsia="宋体" w:cs="Times New Roman"/>
          <w:b/>
          <w:bCs/>
          <w:color w:val="auto"/>
          <w:sz w:val="28"/>
          <w:szCs w:val="28"/>
          <w:highlight w:val="none"/>
        </w:rPr>
        <w:t>三、已标价的</w:t>
      </w:r>
      <w:bookmarkEnd w:id="168"/>
      <w:bookmarkEnd w:id="169"/>
      <w:bookmarkEnd w:id="170"/>
      <w:bookmarkEnd w:id="171"/>
      <w:r>
        <w:rPr>
          <w:rFonts w:ascii="Times New Roman" w:hAnsi="Times New Roman" w:eastAsia="宋体" w:cs="Times New Roman"/>
          <w:b/>
          <w:bCs/>
          <w:color w:val="auto"/>
          <w:sz w:val="28"/>
          <w:szCs w:val="28"/>
          <w:highlight w:val="none"/>
        </w:rPr>
        <w:t>报价清单</w:t>
      </w:r>
      <w:bookmarkEnd w:id="172"/>
      <w:bookmarkEnd w:id="173"/>
      <w:bookmarkEnd w:id="174"/>
      <w:bookmarkEnd w:id="175"/>
    </w:p>
    <w:p w14:paraId="7BC178BB">
      <w:pPr>
        <w:spacing w:line="480" w:lineRule="auto"/>
        <w:ind w:left="1619" w:leftChars="771"/>
        <w:outlineLvl w:val="0"/>
        <w:rPr>
          <w:rFonts w:ascii="Times New Roman" w:hAnsi="Times New Roman" w:eastAsia="宋体" w:cs="Times New Roman"/>
          <w:b/>
          <w:bCs/>
          <w:color w:val="auto"/>
          <w:sz w:val="28"/>
          <w:szCs w:val="28"/>
          <w:highlight w:val="none"/>
        </w:rPr>
      </w:pPr>
      <w:bookmarkStart w:id="176" w:name="_Toc23744_WPSOffice_Level1"/>
      <w:bookmarkStart w:id="177" w:name="_Toc7453_WPSOffice_Level1"/>
      <w:bookmarkStart w:id="178" w:name="_Toc10608_WPSOffice_Level1"/>
      <w:bookmarkStart w:id="179" w:name="_Toc18964_WPSOffice_Level1"/>
      <w:bookmarkStart w:id="180" w:name="_Toc245"/>
      <w:bookmarkStart w:id="181" w:name="_Toc23769"/>
      <w:bookmarkStart w:id="182" w:name="_Toc25618"/>
      <w:bookmarkStart w:id="183" w:name="_Toc30111"/>
      <w:r>
        <w:rPr>
          <w:rFonts w:ascii="Times New Roman" w:hAnsi="Times New Roman" w:eastAsia="宋体" w:cs="Times New Roman"/>
          <w:b/>
          <w:bCs/>
          <w:color w:val="auto"/>
          <w:sz w:val="28"/>
          <w:szCs w:val="28"/>
          <w:highlight w:val="none"/>
        </w:rPr>
        <w:t>四、</w:t>
      </w:r>
      <w:bookmarkEnd w:id="176"/>
      <w:bookmarkEnd w:id="177"/>
      <w:bookmarkEnd w:id="178"/>
      <w:bookmarkEnd w:id="179"/>
      <w:r>
        <w:rPr>
          <w:rFonts w:hint="eastAsia" w:ascii="Times New Roman" w:hAnsi="Times New Roman" w:eastAsia="宋体" w:cs="Times New Roman"/>
          <w:b/>
          <w:bCs/>
          <w:color w:val="auto"/>
          <w:sz w:val="28"/>
          <w:szCs w:val="28"/>
          <w:highlight w:val="none"/>
          <w:lang w:eastAsia="zh-CN"/>
        </w:rPr>
        <w:t>服务商</w:t>
      </w:r>
      <w:r>
        <w:rPr>
          <w:rFonts w:ascii="Times New Roman" w:hAnsi="Times New Roman" w:eastAsia="宋体" w:cs="Times New Roman"/>
          <w:b/>
          <w:bCs/>
          <w:color w:val="auto"/>
          <w:sz w:val="28"/>
          <w:szCs w:val="28"/>
          <w:highlight w:val="none"/>
        </w:rPr>
        <w:t>基本情况</w:t>
      </w:r>
      <w:bookmarkEnd w:id="180"/>
      <w:bookmarkEnd w:id="181"/>
      <w:bookmarkEnd w:id="182"/>
      <w:bookmarkEnd w:id="183"/>
    </w:p>
    <w:p w14:paraId="7A53DE4D">
      <w:pPr>
        <w:spacing w:line="480" w:lineRule="auto"/>
        <w:ind w:left="1619" w:leftChars="771"/>
        <w:outlineLvl w:val="0"/>
        <w:rPr>
          <w:rFonts w:ascii="Times New Roman" w:hAnsi="Times New Roman" w:eastAsia="宋体" w:cs="Times New Roman"/>
          <w:b/>
          <w:bCs/>
          <w:color w:val="auto"/>
          <w:sz w:val="28"/>
          <w:szCs w:val="28"/>
          <w:highlight w:val="none"/>
        </w:rPr>
      </w:pPr>
      <w:bookmarkStart w:id="184" w:name="_Toc25804_WPSOffice_Level1"/>
      <w:bookmarkStart w:id="185" w:name="_Toc30273_WPSOffice_Level1"/>
      <w:bookmarkStart w:id="186" w:name="_Toc32648_WPSOffice_Level1"/>
      <w:bookmarkStart w:id="187" w:name="_Toc27403_WPSOffice_Level1"/>
      <w:bookmarkStart w:id="188" w:name="_Toc2016"/>
      <w:bookmarkStart w:id="189" w:name="_Toc8418"/>
      <w:bookmarkStart w:id="190" w:name="_Toc8935"/>
      <w:bookmarkStart w:id="191" w:name="_Toc6718"/>
      <w:r>
        <w:rPr>
          <w:rFonts w:ascii="Times New Roman" w:hAnsi="Times New Roman" w:eastAsia="宋体" w:cs="Times New Roman"/>
          <w:b/>
          <w:bCs/>
          <w:color w:val="auto"/>
          <w:sz w:val="28"/>
          <w:szCs w:val="28"/>
          <w:highlight w:val="none"/>
        </w:rPr>
        <w:t>五、</w:t>
      </w:r>
      <w:bookmarkEnd w:id="184"/>
      <w:bookmarkEnd w:id="185"/>
      <w:bookmarkEnd w:id="186"/>
      <w:bookmarkEnd w:id="187"/>
      <w:r>
        <w:rPr>
          <w:rFonts w:ascii="Times New Roman" w:hAnsi="Times New Roman" w:eastAsia="宋体" w:cs="Times New Roman"/>
          <w:b/>
          <w:bCs/>
          <w:color w:val="auto"/>
          <w:sz w:val="28"/>
          <w:szCs w:val="28"/>
          <w:highlight w:val="none"/>
        </w:rPr>
        <w:t>信誉情况</w:t>
      </w:r>
      <w:bookmarkEnd w:id="188"/>
      <w:bookmarkEnd w:id="189"/>
      <w:bookmarkEnd w:id="190"/>
      <w:bookmarkEnd w:id="191"/>
    </w:p>
    <w:p w14:paraId="7EBF48A6">
      <w:pPr>
        <w:spacing w:line="480" w:lineRule="auto"/>
        <w:ind w:left="1619" w:leftChars="771"/>
        <w:outlineLvl w:val="0"/>
        <w:rPr>
          <w:rFonts w:ascii="Times New Roman" w:hAnsi="Times New Roman" w:eastAsia="宋体" w:cs="Times New Roman"/>
          <w:b/>
          <w:bCs/>
          <w:color w:val="auto"/>
          <w:sz w:val="28"/>
          <w:szCs w:val="28"/>
          <w:highlight w:val="none"/>
        </w:rPr>
      </w:pPr>
      <w:bookmarkStart w:id="192" w:name="_Toc30234_WPSOffice_Level1"/>
      <w:bookmarkStart w:id="193" w:name="_Toc4051_WPSOffice_Level1"/>
      <w:bookmarkStart w:id="194" w:name="_Toc32152_WPSOffice_Level1"/>
      <w:bookmarkStart w:id="195" w:name="_Toc23147_WPSOffice_Level1"/>
      <w:bookmarkStart w:id="196" w:name="_Toc11685"/>
      <w:bookmarkStart w:id="197" w:name="_Toc29517"/>
      <w:bookmarkStart w:id="198" w:name="_Toc14785"/>
      <w:bookmarkStart w:id="199" w:name="_Toc29255"/>
      <w:r>
        <w:rPr>
          <w:rFonts w:ascii="Times New Roman" w:hAnsi="Times New Roman" w:eastAsia="宋体" w:cs="Times New Roman"/>
          <w:b/>
          <w:bCs/>
          <w:color w:val="auto"/>
          <w:sz w:val="28"/>
          <w:szCs w:val="28"/>
          <w:highlight w:val="none"/>
        </w:rPr>
        <w:t>六、</w:t>
      </w:r>
      <w:bookmarkEnd w:id="192"/>
      <w:bookmarkEnd w:id="193"/>
      <w:bookmarkEnd w:id="194"/>
      <w:bookmarkEnd w:id="195"/>
      <w:r>
        <w:rPr>
          <w:rFonts w:ascii="Times New Roman" w:hAnsi="Times New Roman" w:eastAsia="宋体" w:cs="Times New Roman"/>
          <w:b/>
          <w:bCs/>
          <w:color w:val="auto"/>
          <w:sz w:val="28"/>
          <w:szCs w:val="28"/>
          <w:highlight w:val="none"/>
        </w:rPr>
        <w:t>服务与技术方案</w:t>
      </w:r>
      <w:bookmarkEnd w:id="196"/>
      <w:bookmarkEnd w:id="197"/>
      <w:bookmarkEnd w:id="198"/>
      <w:bookmarkEnd w:id="199"/>
    </w:p>
    <w:p w14:paraId="75ACFDF4">
      <w:pPr>
        <w:spacing w:line="480" w:lineRule="auto"/>
        <w:ind w:left="1619" w:leftChars="771"/>
        <w:outlineLvl w:val="0"/>
        <w:rPr>
          <w:rFonts w:ascii="Times New Roman" w:hAnsi="Times New Roman" w:eastAsia="宋体" w:cs="Times New Roman"/>
          <w:b/>
          <w:bCs/>
          <w:color w:val="auto"/>
          <w:sz w:val="28"/>
          <w:szCs w:val="28"/>
          <w:highlight w:val="none"/>
        </w:rPr>
      </w:pPr>
      <w:bookmarkStart w:id="200" w:name="_Toc16402"/>
      <w:bookmarkStart w:id="201" w:name="_Toc5885_WPSOffice_Level1"/>
      <w:bookmarkStart w:id="202" w:name="_Toc24329"/>
      <w:bookmarkStart w:id="203" w:name="_Toc16988_WPSOffice_Level1"/>
      <w:bookmarkStart w:id="204" w:name="_Toc13662"/>
      <w:bookmarkStart w:id="205" w:name="_Toc6808"/>
      <w:r>
        <w:rPr>
          <w:rFonts w:ascii="Times New Roman" w:hAnsi="Times New Roman" w:eastAsia="宋体" w:cs="Times New Roman"/>
          <w:b/>
          <w:bCs/>
          <w:color w:val="auto"/>
          <w:sz w:val="28"/>
          <w:szCs w:val="28"/>
          <w:highlight w:val="none"/>
        </w:rPr>
        <w:t>七、其他材料</w:t>
      </w:r>
      <w:bookmarkEnd w:id="159"/>
      <w:bookmarkEnd w:id="200"/>
      <w:bookmarkEnd w:id="201"/>
      <w:bookmarkEnd w:id="202"/>
      <w:bookmarkEnd w:id="203"/>
      <w:bookmarkEnd w:id="204"/>
      <w:bookmarkEnd w:id="205"/>
    </w:p>
    <w:p w14:paraId="39181E9F">
      <w:pPr>
        <w:spacing w:line="440" w:lineRule="exact"/>
        <w:ind w:firstLine="420"/>
        <w:rPr>
          <w:rFonts w:ascii="Times New Roman" w:hAnsi="Times New Roman" w:cs="Times New Roman"/>
          <w:color w:val="auto"/>
          <w:highlight w:val="none"/>
        </w:rPr>
      </w:pPr>
    </w:p>
    <w:p w14:paraId="109E290F">
      <w:pPr>
        <w:spacing w:line="440" w:lineRule="exact"/>
        <w:jc w:val="center"/>
        <w:outlineLvl w:val="0"/>
        <w:rPr>
          <w:rFonts w:ascii="Times New Roman" w:hAnsi="Times New Roman" w:eastAsia="宋体" w:cs="Times New Roman"/>
          <w:b w:val="0"/>
          <w:bCs w:val="0"/>
          <w:color w:val="auto"/>
          <w:sz w:val="36"/>
          <w:szCs w:val="36"/>
          <w:highlight w:val="none"/>
        </w:rPr>
      </w:pPr>
      <w:r>
        <w:rPr>
          <w:rFonts w:ascii="Times New Roman" w:hAnsi="Times New Roman" w:eastAsia="黑体" w:cs="Times New Roman"/>
          <w:color w:val="auto"/>
          <w:sz w:val="20"/>
          <w:szCs w:val="20"/>
          <w:highlight w:val="none"/>
        </w:rPr>
        <w:br w:type="page"/>
      </w:r>
      <w:bookmarkStart w:id="206" w:name="_Toc28171"/>
      <w:bookmarkStart w:id="207" w:name="_Toc2465"/>
      <w:bookmarkStart w:id="208" w:name="_Toc18248"/>
      <w:bookmarkStart w:id="209" w:name="_Toc31024"/>
      <w:bookmarkStart w:id="210" w:name="_Toc25394_WPSOffice_Level1"/>
      <w:bookmarkStart w:id="211" w:name="_Toc18882"/>
      <w:r>
        <w:rPr>
          <w:rFonts w:ascii="Times New Roman" w:hAnsi="Times New Roman" w:eastAsia="黑体" w:cs="Times New Roman"/>
          <w:b w:val="0"/>
          <w:bCs w:val="0"/>
          <w:color w:val="auto"/>
          <w:sz w:val="36"/>
          <w:szCs w:val="36"/>
          <w:highlight w:val="none"/>
        </w:rPr>
        <w:t>一、报价函</w:t>
      </w:r>
      <w:bookmarkEnd w:id="206"/>
      <w:bookmarkEnd w:id="207"/>
      <w:bookmarkEnd w:id="208"/>
      <w:bookmarkEnd w:id="209"/>
      <w:bookmarkEnd w:id="210"/>
      <w:bookmarkEnd w:id="211"/>
    </w:p>
    <w:p w14:paraId="6936873F">
      <w:pPr>
        <w:spacing w:line="560" w:lineRule="exact"/>
        <w:ind w:firstLine="0" w:firstLineChars="0"/>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cstheme="minorEastAsia"/>
          <w:b/>
          <w:bCs/>
          <w:color w:val="auto"/>
          <w:sz w:val="28"/>
          <w:szCs w:val="28"/>
          <w:highlight w:val="none"/>
          <w:u w:val="single"/>
          <w:lang w:val="en-US" w:eastAsia="zh-CN"/>
        </w:rPr>
        <w:t xml:space="preserve">   </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(采购人名称)：</w:t>
      </w:r>
    </w:p>
    <w:p w14:paraId="4BB3D30A">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1．我方已仔细研究了</w:t>
      </w:r>
      <w:r>
        <w:rPr>
          <w:rFonts w:hint="eastAsia" w:asciiTheme="minorEastAsia" w:hAnsiTheme="minorEastAsia" w:eastAsiaTheme="minorEastAsia" w:cstheme="minorEastAsia"/>
          <w:color w:val="auto"/>
          <w:sz w:val="28"/>
          <w:szCs w:val="28"/>
          <w:highlight w:val="none"/>
          <w:u w:val="single"/>
        </w:rPr>
        <w:t xml:space="preserve">安徽交控工程集团有限公司保险服务项目采购 </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03</w:t>
      </w:r>
      <w:r>
        <w:rPr>
          <w:rFonts w:hint="eastAsia" w:asciiTheme="minorEastAsia" w:hAnsiTheme="minorEastAsia" w:eastAsiaTheme="minorEastAsia" w:cstheme="minorEastAsia"/>
          <w:color w:val="auto"/>
          <w:sz w:val="28"/>
          <w:szCs w:val="28"/>
          <w:highlight w:val="none"/>
        </w:rPr>
        <w:t>合同包询比文件的全部内容(含补遗书第</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号至第</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号)，愿意在贵公司含可抵扣增值税控制价费率单价基础上总体平均下浮</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（大写：百分之</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作为我公司对本项目</w:t>
      </w:r>
      <w:r>
        <w:rPr>
          <w:rFonts w:hint="eastAsia" w:asciiTheme="minorEastAsia" w:hAnsiTheme="minorEastAsia" w:cstheme="minorEastAsia"/>
          <w:color w:val="auto"/>
          <w:sz w:val="28"/>
          <w:szCs w:val="28"/>
          <w:highlight w:val="none"/>
          <w:lang w:eastAsia="zh-CN"/>
        </w:rPr>
        <w:t>03标包</w:t>
      </w:r>
      <w:r>
        <w:rPr>
          <w:rFonts w:hint="eastAsia" w:asciiTheme="minorEastAsia" w:hAnsiTheme="minorEastAsia" w:eastAsiaTheme="minorEastAsia" w:cstheme="minorEastAsia"/>
          <w:color w:val="auto"/>
          <w:sz w:val="28"/>
          <w:szCs w:val="28"/>
          <w:highlight w:val="none"/>
        </w:rPr>
        <w:t>的响应报价，服务期</w:t>
      </w:r>
      <w:r>
        <w:rPr>
          <w:rFonts w:hint="eastAsia" w:asciiTheme="minorEastAsia" w:hAnsiTheme="minorEastAsia" w:eastAsiaTheme="minorEastAsia" w:cstheme="minorEastAsia"/>
          <w:color w:val="auto"/>
          <w:sz w:val="28"/>
          <w:szCs w:val="28"/>
          <w:highlight w:val="none"/>
          <w:u w:val="single"/>
        </w:rPr>
        <w:t xml:space="preserve"> 1年</w:t>
      </w:r>
      <w:r>
        <w:rPr>
          <w:rFonts w:hint="eastAsia" w:asciiTheme="minorEastAsia" w:hAnsiTheme="minorEastAsia" w:eastAsiaTheme="minorEastAsia" w:cstheme="minorEastAsia"/>
          <w:color w:val="auto"/>
          <w:sz w:val="28"/>
          <w:szCs w:val="28"/>
          <w:highlight w:val="none"/>
        </w:rPr>
        <w:t>，按合同约定实施和完成相关服务。</w:t>
      </w:r>
    </w:p>
    <w:p w14:paraId="0D66EA34">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2．我方承诺在响应有效期内不修改、撤销响应文件。</w:t>
      </w:r>
    </w:p>
    <w:p w14:paraId="0EE187D4">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3．如我方成交：</w:t>
      </w:r>
    </w:p>
    <w:p w14:paraId="2444230D">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(1)我方承诺在收到成交通知书后，在成交通知书规定的期限内与你方签订合同。</w:t>
      </w:r>
    </w:p>
    <w:p w14:paraId="62AAE9F2">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(2)我方承诺按照询比文件规定向你方递交履约担保。</w:t>
      </w:r>
    </w:p>
    <w:p w14:paraId="706EE910">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(3)我方承诺在合同约定的期限内完成全部合同任务。</w:t>
      </w:r>
    </w:p>
    <w:p w14:paraId="13912552">
      <w:pPr>
        <w:spacing w:line="560" w:lineRule="exact"/>
        <w:ind w:firstLine="560" w:firstLineChars="20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eastAsia="zh-CN"/>
        </w:rPr>
        <w:t>我方承诺完全响应本询比文件全部内容。</w:t>
      </w:r>
    </w:p>
    <w:p w14:paraId="59FE81AC">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4．我方在此声明，所递交的响应文件及有关资料内容完整、真实和准确。</w:t>
      </w:r>
    </w:p>
    <w:p w14:paraId="4930B139">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5．在合同协议书正式签署生效之前，本报价函连同你方的成交通知书将构成我们双方之间共同遵守的文件，对双方具有约束力。</w:t>
      </w:r>
    </w:p>
    <w:p w14:paraId="3B490788">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6．我方理解，你方不一定接受任何报价。同时也理解，你方不负担我方的任何报价费用。</w:t>
      </w:r>
    </w:p>
    <w:p w14:paraId="3869CE78">
      <w:pPr>
        <w:spacing w:line="560" w:lineRule="exact"/>
        <w:ind w:firstLine="2800" w:firstLineChars="10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服务商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(盖单位章)</w:t>
      </w:r>
    </w:p>
    <w:p w14:paraId="0529F15B">
      <w:pPr>
        <w:spacing w:line="560" w:lineRule="exact"/>
        <w:ind w:firstLine="2800" w:firstLineChars="10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(签名)</w:t>
      </w:r>
    </w:p>
    <w:p w14:paraId="1C935D95">
      <w:pPr>
        <w:spacing w:line="560" w:lineRule="exact"/>
        <w:ind w:firstLine="2800" w:firstLineChars="10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14:paraId="0A881AAB">
      <w:pPr>
        <w:spacing w:line="560" w:lineRule="exact"/>
        <w:ind w:firstLine="2800" w:firstLineChars="10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网址：</w:t>
      </w:r>
      <w:r>
        <w:rPr>
          <w:rFonts w:hint="eastAsia" w:asciiTheme="minorEastAsia" w:hAnsiTheme="minorEastAsia" w:eastAsiaTheme="minorEastAsia" w:cstheme="minorEastAsia"/>
          <w:color w:val="auto"/>
          <w:sz w:val="28"/>
          <w:szCs w:val="28"/>
          <w:highlight w:val="none"/>
          <w:u w:val="single"/>
        </w:rPr>
        <w:t xml:space="preserve">                                     </w:t>
      </w:r>
    </w:p>
    <w:p w14:paraId="2CF2349D">
      <w:pPr>
        <w:spacing w:line="560" w:lineRule="exact"/>
        <w:ind w:firstLine="2800" w:firstLineChars="10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电话：</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14:paraId="4124803C">
      <w:pPr>
        <w:spacing w:line="560" w:lineRule="exact"/>
        <w:ind w:firstLine="2800" w:firstLineChars="10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电子邮箱：</w:t>
      </w:r>
      <w:r>
        <w:rPr>
          <w:rFonts w:hint="eastAsia" w:asciiTheme="minorEastAsia" w:hAnsiTheme="minorEastAsia" w:eastAsiaTheme="minorEastAsia" w:cstheme="minorEastAsia"/>
          <w:color w:val="auto"/>
          <w:sz w:val="28"/>
          <w:szCs w:val="28"/>
          <w:highlight w:val="none"/>
          <w:u w:val="single"/>
        </w:rPr>
        <w:t xml:space="preserve">                                 </w:t>
      </w:r>
    </w:p>
    <w:p w14:paraId="7AB552A0">
      <w:pPr>
        <w:spacing w:line="560" w:lineRule="exact"/>
        <w:ind w:firstLine="5040" w:firstLineChars="18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p>
    <w:p w14:paraId="0ED82F59">
      <w:pPr>
        <w:jc w:val="center"/>
        <w:outlineLvl w:val="0"/>
        <w:rPr>
          <w:rFonts w:ascii="Times New Roman" w:hAnsi="Times New Roman" w:eastAsia="黑体" w:cs="Times New Roman"/>
          <w:b w:val="0"/>
          <w:bCs w:val="0"/>
          <w:color w:val="auto"/>
          <w:sz w:val="36"/>
          <w:szCs w:val="36"/>
          <w:highlight w:val="none"/>
        </w:rPr>
      </w:pPr>
      <w:bookmarkStart w:id="212" w:name="_Toc20405"/>
      <w:bookmarkStart w:id="213" w:name="_Toc13621"/>
      <w:bookmarkStart w:id="214" w:name="_Toc27758"/>
      <w:bookmarkStart w:id="215" w:name="_Toc32350_WPSOffice_Level1"/>
      <w:bookmarkStart w:id="216" w:name="_Toc8695_WPSOffice_Level1"/>
      <w:bookmarkStart w:id="217" w:name="_Toc14563_WPSOffice_Level1"/>
      <w:bookmarkStart w:id="218" w:name="_Toc16271_WPSOffice_Level1"/>
      <w:bookmarkStart w:id="219" w:name="_Toc18668_WPSOffice_Level1"/>
      <w:r>
        <w:rPr>
          <w:rFonts w:ascii="Times New Roman" w:hAnsi="Times New Roman" w:eastAsia="黑体" w:cs="Times New Roman"/>
          <w:b w:val="0"/>
          <w:bCs w:val="0"/>
          <w:color w:val="auto"/>
          <w:sz w:val="36"/>
          <w:szCs w:val="36"/>
          <w:highlight w:val="none"/>
        </w:rPr>
        <w:t>二、法定代表人（或负责人）身份证明及授权委托书</w:t>
      </w:r>
      <w:bookmarkEnd w:id="212"/>
      <w:bookmarkEnd w:id="213"/>
      <w:bookmarkEnd w:id="214"/>
    </w:p>
    <w:p w14:paraId="07AB68C6">
      <w:pPr>
        <w:spacing w:line="440" w:lineRule="exact"/>
        <w:jc w:val="center"/>
        <w:outlineLvl w:val="1"/>
        <w:rPr>
          <w:rFonts w:ascii="Times New Roman" w:hAnsi="Times New Roman" w:eastAsia="宋体" w:cs="Times New Roman"/>
          <w:b/>
          <w:color w:val="auto"/>
          <w:sz w:val="28"/>
          <w:szCs w:val="28"/>
          <w:highlight w:val="none"/>
        </w:rPr>
      </w:pPr>
      <w:bookmarkStart w:id="220" w:name="_Toc20803_WPSOffice_Level2"/>
      <w:bookmarkStart w:id="221" w:name="_Toc80"/>
      <w:bookmarkStart w:id="222" w:name="_Toc5153_WPSOffice_Level2"/>
      <w:r>
        <w:rPr>
          <w:rFonts w:ascii="Times New Roman" w:hAnsi="Times New Roman" w:eastAsia="宋体" w:cs="Times New Roman"/>
          <w:b/>
          <w:color w:val="auto"/>
          <w:sz w:val="28"/>
          <w:szCs w:val="28"/>
          <w:highlight w:val="none"/>
        </w:rPr>
        <w:t xml:space="preserve">2-1 </w:t>
      </w:r>
      <w:bookmarkEnd w:id="220"/>
      <w:bookmarkEnd w:id="221"/>
      <w:bookmarkEnd w:id="222"/>
      <w:r>
        <w:rPr>
          <w:rFonts w:ascii="Times New Roman" w:hAnsi="Times New Roman" w:eastAsia="宋体" w:cs="Times New Roman"/>
          <w:b/>
          <w:color w:val="auto"/>
          <w:sz w:val="28"/>
          <w:szCs w:val="28"/>
          <w:highlight w:val="none"/>
        </w:rPr>
        <w:t>省分公司授权书</w:t>
      </w:r>
    </w:p>
    <w:p w14:paraId="45458750">
      <w:pPr>
        <w:spacing w:line="440" w:lineRule="exact"/>
        <w:rPr>
          <w:rFonts w:ascii="Times New Roman" w:hAnsi="Times New Roman" w:eastAsia="宋体" w:cs="Times New Roman"/>
          <w:color w:val="auto"/>
          <w:sz w:val="20"/>
          <w:szCs w:val="20"/>
          <w:highlight w:val="none"/>
        </w:rPr>
      </w:pPr>
    </w:p>
    <w:p w14:paraId="6BB4CDD5">
      <w:pPr>
        <w:topLinePunct/>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本人</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(姓名)系</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(省分公司)的法定代表人（或负责人），现授权</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（中支公司）为我方投标及具体承保公司。全权代表</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(省分公司)就</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(项目名称)项目执行其投标、履约、签约及合同执行的义务，同时</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(省分公司)承诺对此分支机构作为全权负责。</w:t>
      </w:r>
    </w:p>
    <w:p w14:paraId="4FFFB2C1">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特此声明。</w:t>
      </w:r>
    </w:p>
    <w:p w14:paraId="22026120">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附：授权方法定代表人（或负责人）身份证明</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2FC61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4644" w:type="dxa"/>
          </w:tcPr>
          <w:p w14:paraId="3385F159">
            <w:pPr>
              <w:rPr>
                <w:rFonts w:ascii="Times New Roman" w:hAnsi="Times New Roman" w:cs="Times New Roman"/>
                <w:color w:val="auto"/>
                <w:highlight w:val="none"/>
              </w:rPr>
            </w:pPr>
          </w:p>
        </w:tc>
        <w:tc>
          <w:tcPr>
            <w:tcW w:w="4644" w:type="dxa"/>
          </w:tcPr>
          <w:p w14:paraId="607CBB9A">
            <w:pPr>
              <w:rPr>
                <w:rFonts w:ascii="Times New Roman" w:hAnsi="Times New Roman" w:cs="Times New Roman"/>
                <w:color w:val="auto"/>
                <w:highlight w:val="none"/>
              </w:rPr>
            </w:pPr>
          </w:p>
        </w:tc>
      </w:tr>
    </w:tbl>
    <w:p w14:paraId="501E0EE5">
      <w:pPr>
        <w:spacing w:line="360" w:lineRule="auto"/>
        <w:ind w:firstLine="960" w:firstLineChars="400"/>
        <w:rPr>
          <w:rFonts w:ascii="Times New Roman" w:hAnsi="Times New Roman" w:cs="Times New Roman"/>
          <w:color w:val="auto"/>
          <w:sz w:val="24"/>
          <w:highlight w:val="none"/>
        </w:rPr>
      </w:pPr>
    </w:p>
    <w:p w14:paraId="5478BBCD">
      <w:pPr>
        <w:spacing w:line="360" w:lineRule="auto"/>
        <w:ind w:firstLine="1120" w:firstLineChars="4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授权人：</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(省分公司）</w:t>
      </w:r>
    </w:p>
    <w:p w14:paraId="2C2C5563">
      <w:pPr>
        <w:spacing w:line="360" w:lineRule="auto"/>
        <w:ind w:firstLine="1120" w:firstLineChars="4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法定代表人（负责人）：</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(签名)</w:t>
      </w:r>
    </w:p>
    <w:p w14:paraId="753E4F30">
      <w:pPr>
        <w:spacing w:line="360" w:lineRule="auto"/>
        <w:ind w:firstLine="1120" w:firstLineChars="400"/>
        <w:rPr>
          <w:rFonts w:hint="eastAsia" w:asciiTheme="minorEastAsia" w:hAnsiTheme="minorEastAsia" w:cstheme="minorEastAsia"/>
          <w:color w:val="auto"/>
          <w:sz w:val="28"/>
          <w:szCs w:val="28"/>
          <w:highlight w:val="none"/>
          <w:u w:val="single"/>
        </w:rPr>
      </w:pPr>
      <w:r>
        <w:rPr>
          <w:rFonts w:hint="eastAsia" w:asciiTheme="minorEastAsia" w:hAnsiTheme="minorEastAsia" w:cstheme="minorEastAsia"/>
          <w:color w:val="auto"/>
          <w:sz w:val="28"/>
          <w:szCs w:val="28"/>
          <w:highlight w:val="none"/>
        </w:rPr>
        <w:t>地址：</w:t>
      </w:r>
      <w:r>
        <w:rPr>
          <w:rFonts w:hint="eastAsia" w:asciiTheme="minorEastAsia" w:hAnsiTheme="minorEastAsia" w:cstheme="minorEastAsia"/>
          <w:color w:val="auto"/>
          <w:sz w:val="28"/>
          <w:szCs w:val="28"/>
          <w:highlight w:val="none"/>
          <w:u w:val="single"/>
        </w:rPr>
        <w:t xml:space="preserve">                                          </w:t>
      </w:r>
    </w:p>
    <w:p w14:paraId="1D594F9C">
      <w:pPr>
        <w:spacing w:line="360" w:lineRule="auto"/>
        <w:ind w:firstLine="1120" w:firstLineChars="4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日期：</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 xml:space="preserve">年 </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月</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日</w:t>
      </w:r>
    </w:p>
    <w:p w14:paraId="041FE967">
      <w:pPr>
        <w:spacing w:line="360" w:lineRule="auto"/>
        <w:ind w:firstLine="1120" w:firstLineChars="4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被授权人：</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名称)</w:t>
      </w:r>
    </w:p>
    <w:p w14:paraId="1A619C6C">
      <w:pPr>
        <w:spacing w:line="360" w:lineRule="auto"/>
        <w:ind w:firstLine="1120" w:firstLineChars="4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法定代表人（负责人）：</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(签名)</w:t>
      </w:r>
    </w:p>
    <w:p w14:paraId="20F324E8">
      <w:pPr>
        <w:spacing w:line="360" w:lineRule="auto"/>
        <w:ind w:firstLine="1120" w:firstLineChars="4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地址：</w:t>
      </w:r>
      <w:r>
        <w:rPr>
          <w:rFonts w:hint="eastAsia" w:asciiTheme="minorEastAsia" w:hAnsiTheme="minorEastAsia" w:cstheme="minorEastAsia"/>
          <w:color w:val="auto"/>
          <w:sz w:val="28"/>
          <w:szCs w:val="28"/>
          <w:highlight w:val="none"/>
          <w:u w:val="single"/>
        </w:rPr>
        <w:t xml:space="preserve">                                          </w:t>
      </w:r>
    </w:p>
    <w:p w14:paraId="213B2CE5">
      <w:pPr>
        <w:spacing w:line="360" w:lineRule="auto"/>
        <w:ind w:firstLine="1120" w:firstLineChars="4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日期：</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 xml:space="preserve">年 </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月</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日</w:t>
      </w:r>
    </w:p>
    <w:p w14:paraId="59C081B2">
      <w:pPr>
        <w:topLinePunct/>
        <w:spacing w:line="440" w:lineRule="exact"/>
        <w:ind w:firstLine="560" w:firstLineChars="200"/>
        <w:rPr>
          <w:rFonts w:hint="eastAsia" w:asciiTheme="minorEastAsia" w:hAnsiTheme="minorEastAsia" w:eastAsiaTheme="minorEastAsia" w:cstheme="minorEastAsia"/>
          <w:color w:val="auto"/>
          <w:sz w:val="28"/>
          <w:szCs w:val="28"/>
          <w:highlight w:val="none"/>
        </w:rPr>
      </w:pPr>
    </w:p>
    <w:p w14:paraId="7C11B428">
      <w:pPr>
        <w:topLinePunct/>
        <w:spacing w:line="440" w:lineRule="exact"/>
        <w:ind w:firstLine="560"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8"/>
          <w:szCs w:val="28"/>
          <w:highlight w:val="none"/>
        </w:rPr>
        <w:t>备注：若响应</w:t>
      </w:r>
      <w:r>
        <w:rPr>
          <w:rFonts w:hint="eastAsia" w:asciiTheme="minorEastAsia" w:hAnsiTheme="minorEastAsia" w:eastAsiaTheme="minorEastAsia" w:cstheme="minorEastAsia"/>
          <w:color w:val="auto"/>
          <w:sz w:val="28"/>
          <w:szCs w:val="28"/>
          <w:highlight w:val="none"/>
          <w:lang w:eastAsia="zh-CN"/>
        </w:rPr>
        <w:t>服务商</w:t>
      </w:r>
      <w:r>
        <w:rPr>
          <w:rFonts w:hint="eastAsia" w:asciiTheme="minorEastAsia" w:hAnsiTheme="minorEastAsia" w:eastAsiaTheme="minorEastAsia" w:cstheme="minorEastAsia"/>
          <w:color w:val="auto"/>
          <w:sz w:val="28"/>
          <w:szCs w:val="28"/>
          <w:highlight w:val="none"/>
        </w:rPr>
        <w:t>为省分公司的情况，其“授权</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(中支公司)”及本页中“被授权人处”均填入“/”。</w:t>
      </w:r>
    </w:p>
    <w:p w14:paraId="07143D2A">
      <w:pPr>
        <w:spacing w:line="440" w:lineRule="exact"/>
        <w:jc w:val="center"/>
        <w:outlineLvl w:val="1"/>
        <w:rPr>
          <w:rFonts w:ascii="Times New Roman" w:hAnsi="Times New Roman" w:eastAsia="宋体" w:cs="Times New Roman"/>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bookmarkStart w:id="223" w:name="_Toc27593"/>
      <w:r>
        <w:rPr>
          <w:rFonts w:ascii="Times New Roman" w:hAnsi="Times New Roman" w:eastAsia="宋体" w:cs="Times New Roman"/>
          <w:b/>
          <w:color w:val="auto"/>
          <w:sz w:val="28"/>
          <w:szCs w:val="28"/>
          <w:highlight w:val="none"/>
        </w:rPr>
        <w:t>2-2 授权委托书</w:t>
      </w:r>
      <w:bookmarkEnd w:id="223"/>
    </w:p>
    <w:p w14:paraId="499708FC">
      <w:pPr>
        <w:spacing w:line="440" w:lineRule="exact"/>
        <w:rPr>
          <w:rFonts w:ascii="Times New Roman" w:hAnsi="Times New Roman" w:eastAsia="宋体" w:cs="Times New Roman"/>
          <w:color w:val="auto"/>
          <w:sz w:val="24"/>
          <w:highlight w:val="none"/>
        </w:rPr>
      </w:pPr>
    </w:p>
    <w:p w14:paraId="34DA273F">
      <w:pPr>
        <w:topLinePunct/>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(姓名)系</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服务商</w:t>
      </w:r>
      <w:r>
        <w:rPr>
          <w:rFonts w:hint="eastAsia" w:asciiTheme="minorEastAsia" w:hAnsiTheme="minorEastAsia" w:eastAsiaTheme="minorEastAsia" w:cstheme="minorEastAsia"/>
          <w:color w:val="auto"/>
          <w:sz w:val="28"/>
          <w:szCs w:val="28"/>
          <w:highlight w:val="none"/>
        </w:rPr>
        <w:t>名称)的法定代表人（或负责人），现委托</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(姓名)为我方代理人。代理人根据授权，以我方名义签署、澄清、说明、补正、递交、撤回、修改</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合同包响应文件、签订合同和处理有关事宜，其法律后果由我方承担。</w:t>
      </w:r>
    </w:p>
    <w:p w14:paraId="7357E49B">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委托期限：</w:t>
      </w:r>
      <w:r>
        <w:rPr>
          <w:rFonts w:hint="eastAsia" w:asciiTheme="minorEastAsia" w:hAnsiTheme="minorEastAsia" w:eastAsiaTheme="minorEastAsia" w:cstheme="minorEastAsia"/>
          <w:color w:val="auto"/>
          <w:sz w:val="28"/>
          <w:szCs w:val="28"/>
          <w:highlight w:val="none"/>
          <w:u w:val="single"/>
        </w:rPr>
        <w:t>自授权委托之日起至签订合同之日止</w:t>
      </w:r>
      <w:r>
        <w:rPr>
          <w:rFonts w:hint="eastAsia" w:asciiTheme="minorEastAsia" w:hAnsiTheme="minorEastAsia" w:eastAsiaTheme="minorEastAsia" w:cstheme="minorEastAsia"/>
          <w:color w:val="auto"/>
          <w:sz w:val="28"/>
          <w:szCs w:val="28"/>
          <w:highlight w:val="none"/>
        </w:rPr>
        <w:t>。</w:t>
      </w:r>
    </w:p>
    <w:p w14:paraId="6866E8F3">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代理人无转委托权。</w:t>
      </w:r>
    </w:p>
    <w:p w14:paraId="01D1E1CF">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附：法定代表人（或负责人）身份证明、委托代理人的身份证正反面复印件</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7B9D7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4644" w:type="dxa"/>
          </w:tcPr>
          <w:p w14:paraId="75500D68">
            <w:pPr>
              <w:rPr>
                <w:rFonts w:ascii="Times New Roman" w:hAnsi="Times New Roman" w:cs="Times New Roman"/>
                <w:color w:val="auto"/>
                <w:highlight w:val="none"/>
              </w:rPr>
            </w:pPr>
          </w:p>
        </w:tc>
        <w:tc>
          <w:tcPr>
            <w:tcW w:w="4644" w:type="dxa"/>
          </w:tcPr>
          <w:p w14:paraId="26022294">
            <w:pPr>
              <w:rPr>
                <w:rFonts w:ascii="Times New Roman" w:hAnsi="Times New Roman" w:cs="Times New Roman"/>
                <w:color w:val="auto"/>
                <w:highlight w:val="none"/>
              </w:rPr>
            </w:pPr>
          </w:p>
        </w:tc>
      </w:tr>
    </w:tbl>
    <w:p w14:paraId="2CBAA783">
      <w:pPr>
        <w:rPr>
          <w:rFonts w:ascii="Times New Roman" w:hAnsi="Times New Roman" w:cs="Times New Roman"/>
          <w:color w:val="auto"/>
          <w:highlight w:val="none"/>
        </w:rPr>
      </w:pPr>
    </w:p>
    <w:p w14:paraId="1D4AAF55">
      <w:pPr>
        <w:rPr>
          <w:rFonts w:hint="eastAsia" w:asciiTheme="minorEastAsia" w:hAnsiTheme="minorEastAsia" w:eastAsiaTheme="minorEastAsia" w:cstheme="minorEastAsia"/>
          <w:color w:val="auto"/>
          <w:sz w:val="28"/>
          <w:szCs w:val="28"/>
          <w:highlight w:val="none"/>
        </w:rPr>
      </w:pPr>
    </w:p>
    <w:p w14:paraId="48B48AC2">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服务商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(盖单位章)</w:t>
      </w:r>
    </w:p>
    <w:p w14:paraId="7D5B6784">
      <w:pPr>
        <w:rPr>
          <w:rFonts w:hint="eastAsia" w:asciiTheme="minorEastAsia" w:hAnsiTheme="minorEastAsia" w:eastAsiaTheme="minorEastAsia" w:cstheme="minorEastAsia"/>
          <w:color w:val="auto"/>
          <w:sz w:val="28"/>
          <w:szCs w:val="28"/>
          <w:highlight w:val="none"/>
        </w:rPr>
      </w:pPr>
    </w:p>
    <w:p w14:paraId="4C711399">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法定代表人（或负责人）：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(签名)</w:t>
      </w:r>
    </w:p>
    <w:p w14:paraId="6FABF01C">
      <w:pPr>
        <w:rPr>
          <w:rFonts w:hint="eastAsia" w:asciiTheme="minorEastAsia" w:hAnsiTheme="minorEastAsia" w:eastAsiaTheme="minorEastAsia" w:cstheme="minorEastAsia"/>
          <w:color w:val="auto"/>
          <w:sz w:val="28"/>
          <w:szCs w:val="28"/>
          <w:highlight w:val="none"/>
        </w:rPr>
      </w:pPr>
    </w:p>
    <w:p w14:paraId="20E715B2">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身份证号码：</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p>
    <w:p w14:paraId="47C151B4">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4E234BD3">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(签名)</w:t>
      </w:r>
    </w:p>
    <w:p w14:paraId="4768255F">
      <w:pPr>
        <w:rPr>
          <w:rFonts w:hint="eastAsia" w:asciiTheme="minorEastAsia" w:hAnsiTheme="minorEastAsia" w:eastAsiaTheme="minorEastAsia" w:cstheme="minorEastAsia"/>
          <w:color w:val="auto"/>
          <w:sz w:val="28"/>
          <w:szCs w:val="28"/>
          <w:highlight w:val="none"/>
        </w:rPr>
      </w:pPr>
    </w:p>
    <w:p w14:paraId="5227EE6C">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身份证号码：</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p>
    <w:p w14:paraId="382BCB0D">
      <w:pPr>
        <w:rPr>
          <w:rFonts w:hint="eastAsia" w:asciiTheme="minorEastAsia" w:hAnsiTheme="minorEastAsia" w:eastAsiaTheme="minorEastAsia" w:cstheme="minorEastAsia"/>
          <w:color w:val="auto"/>
          <w:sz w:val="28"/>
          <w:szCs w:val="28"/>
          <w:highlight w:val="none"/>
          <w:u w:val="single"/>
        </w:rPr>
      </w:pPr>
    </w:p>
    <w:p w14:paraId="5B31F00C">
      <w:pPr>
        <w:ind w:firstLine="4200" w:firstLineChars="15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年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p>
    <w:p w14:paraId="16497963">
      <w:pPr>
        <w:spacing w:line="44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5377E6AD">
      <w:pPr>
        <w:spacing w:line="440" w:lineRule="exact"/>
        <w:rPr>
          <w:rFonts w:hint="eastAsia" w:asciiTheme="minorEastAsia" w:hAnsiTheme="minorEastAsia" w:eastAsiaTheme="minorEastAsia" w:cstheme="minorEastAsia"/>
          <w:color w:val="auto"/>
          <w:sz w:val="28"/>
          <w:szCs w:val="28"/>
          <w:highlight w:val="none"/>
        </w:rPr>
      </w:pPr>
    </w:p>
    <w:p w14:paraId="55A33B7B">
      <w:pPr>
        <w:pageBreakBefore w:val="0"/>
        <w:numPr>
          <w:ilvl w:val="0"/>
          <w:numId w:val="0"/>
        </w:numPr>
        <w:spacing w:line="360" w:lineRule="auto"/>
        <w:jc w:val="center"/>
        <w:outlineLvl w:val="0"/>
        <w:rPr>
          <w:rFonts w:ascii="Times New Roman" w:hAnsi="Times New Roman" w:cs="Times New Roman"/>
          <w:b w:val="0"/>
          <w:bCs w:val="0"/>
          <w:color w:val="auto"/>
          <w:sz w:val="36"/>
          <w:szCs w:val="36"/>
          <w:highlight w:val="none"/>
        </w:rPr>
      </w:pPr>
      <w:bookmarkStart w:id="224" w:name="_Toc32264"/>
      <w:bookmarkStart w:id="225" w:name="_Toc16034"/>
      <w:bookmarkStart w:id="226" w:name="_Toc29061"/>
      <w:r>
        <w:rPr>
          <w:rFonts w:hint="eastAsia" w:ascii="黑体" w:hAnsi="黑体" w:eastAsia="黑体" w:cs="黑体"/>
          <w:b w:val="0"/>
          <w:bCs w:val="0"/>
          <w:color w:val="auto"/>
          <w:kern w:val="2"/>
          <w:sz w:val="36"/>
          <w:szCs w:val="36"/>
          <w:highlight w:val="none"/>
          <w:lang w:val="en-US" w:eastAsia="zh-CN" w:bidi="ar-SA"/>
        </w:rPr>
        <w:t>三、</w:t>
      </w:r>
      <w:r>
        <w:rPr>
          <w:rFonts w:ascii="Times New Roman" w:hAnsi="Times New Roman" w:eastAsia="黑体" w:cs="Times New Roman"/>
          <w:b w:val="0"/>
          <w:bCs w:val="0"/>
          <w:color w:val="auto"/>
          <w:sz w:val="36"/>
          <w:szCs w:val="36"/>
          <w:highlight w:val="none"/>
        </w:rPr>
        <w:t>已标价的报价清单</w:t>
      </w:r>
      <w:bookmarkEnd w:id="224"/>
      <w:bookmarkEnd w:id="225"/>
      <w:bookmarkEnd w:id="226"/>
      <w:bookmarkStart w:id="227" w:name="_Toc31206"/>
      <w:bookmarkStart w:id="228" w:name="_Toc18047"/>
      <w:bookmarkStart w:id="229" w:name="_Toc5471"/>
      <w:bookmarkStart w:id="230" w:name="_Toc26477_WPSOffice_Level1"/>
      <w:bookmarkStart w:id="231" w:name="_Toc13872"/>
    </w:p>
    <w:p w14:paraId="76A709BA">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1.本项目采用费率下浮报价，</w:t>
      </w:r>
      <w:r>
        <w:rPr>
          <w:rFonts w:hint="eastAsia" w:asciiTheme="minorEastAsia" w:hAnsiTheme="minorEastAsia" w:cstheme="minorEastAsia"/>
          <w:color w:val="auto"/>
          <w:kern w:val="0"/>
          <w:sz w:val="28"/>
          <w:szCs w:val="28"/>
          <w:highlight w:val="none"/>
          <w:lang w:eastAsia="zh-CN" w:bidi="ar"/>
        </w:rPr>
        <w:t>响应人</w:t>
      </w:r>
      <w:r>
        <w:rPr>
          <w:rFonts w:hint="eastAsia" w:asciiTheme="minorEastAsia" w:hAnsiTheme="minorEastAsia" w:cstheme="minorEastAsia"/>
          <w:color w:val="auto"/>
          <w:kern w:val="0"/>
          <w:sz w:val="28"/>
          <w:szCs w:val="28"/>
          <w:highlight w:val="none"/>
          <w:lang w:bidi="ar"/>
        </w:rPr>
        <w:t>报价下浮比例不得低于</w:t>
      </w:r>
      <w:r>
        <w:rPr>
          <w:rFonts w:hint="eastAsia" w:asciiTheme="minorEastAsia" w:hAnsiTheme="minorEastAsia" w:cstheme="minorEastAsia"/>
          <w:color w:val="auto"/>
          <w:kern w:val="0"/>
          <w:sz w:val="28"/>
          <w:szCs w:val="28"/>
          <w:highlight w:val="none"/>
          <w:lang w:eastAsia="zh-CN" w:bidi="ar"/>
        </w:rPr>
        <w:t>采购人</w:t>
      </w:r>
      <w:r>
        <w:rPr>
          <w:rFonts w:hint="eastAsia" w:asciiTheme="minorEastAsia" w:hAnsiTheme="minorEastAsia" w:cstheme="minorEastAsia"/>
          <w:color w:val="auto"/>
          <w:kern w:val="0"/>
          <w:sz w:val="28"/>
          <w:szCs w:val="28"/>
          <w:highlight w:val="none"/>
          <w:lang w:val="en-US" w:eastAsia="zh-CN" w:bidi="ar"/>
        </w:rPr>
        <w:t>要求的下浮</w:t>
      </w:r>
      <w:r>
        <w:rPr>
          <w:rFonts w:hint="eastAsia" w:asciiTheme="minorEastAsia" w:hAnsiTheme="minorEastAsia" w:cstheme="minorEastAsia"/>
          <w:color w:val="auto"/>
          <w:kern w:val="0"/>
          <w:sz w:val="28"/>
          <w:szCs w:val="28"/>
          <w:highlight w:val="none"/>
          <w:lang w:bidi="ar"/>
        </w:rPr>
        <w:t>比例，即</w:t>
      </w:r>
      <w:r>
        <w:rPr>
          <w:rFonts w:hint="eastAsia" w:asciiTheme="minorEastAsia" w:hAnsiTheme="minorEastAsia" w:cstheme="minorEastAsia"/>
          <w:color w:val="auto"/>
          <w:kern w:val="0"/>
          <w:sz w:val="28"/>
          <w:szCs w:val="28"/>
          <w:highlight w:val="none"/>
          <w:lang w:eastAsia="zh-CN" w:bidi="ar"/>
        </w:rPr>
        <w:t>响应人</w:t>
      </w:r>
      <w:r>
        <w:rPr>
          <w:rFonts w:hint="eastAsia" w:asciiTheme="minorEastAsia" w:hAnsiTheme="minorEastAsia" w:cstheme="minorEastAsia"/>
          <w:color w:val="auto"/>
          <w:kern w:val="0"/>
          <w:sz w:val="28"/>
          <w:szCs w:val="28"/>
          <w:highlight w:val="none"/>
          <w:lang w:bidi="ar"/>
        </w:rPr>
        <w:t>报价下浮比例必须大于</w:t>
      </w:r>
      <w:r>
        <w:rPr>
          <w:rFonts w:hint="eastAsia" w:asciiTheme="minorEastAsia" w:hAnsiTheme="minorEastAsia" w:cstheme="minorEastAsia"/>
          <w:color w:val="auto"/>
          <w:kern w:val="0"/>
          <w:sz w:val="28"/>
          <w:szCs w:val="28"/>
          <w:highlight w:val="none"/>
          <w:lang w:eastAsia="zh-CN" w:bidi="ar"/>
        </w:rPr>
        <w:t>采购人</w:t>
      </w:r>
      <w:r>
        <w:rPr>
          <w:rFonts w:hint="eastAsia" w:asciiTheme="minorEastAsia" w:hAnsiTheme="minorEastAsia" w:cstheme="minorEastAsia"/>
          <w:color w:val="auto"/>
          <w:kern w:val="0"/>
          <w:sz w:val="28"/>
          <w:szCs w:val="28"/>
          <w:highlight w:val="none"/>
          <w:lang w:bidi="ar"/>
        </w:rPr>
        <w:t>控制价</w:t>
      </w:r>
      <w:r>
        <w:rPr>
          <w:rFonts w:hint="eastAsia" w:asciiTheme="minorEastAsia" w:hAnsiTheme="minorEastAsia" w:cstheme="minorEastAsia"/>
          <w:b/>
          <w:bCs/>
          <w:color w:val="auto"/>
          <w:kern w:val="0"/>
          <w:sz w:val="28"/>
          <w:szCs w:val="28"/>
          <w:highlight w:val="none"/>
          <w:lang w:bidi="ar"/>
        </w:rPr>
        <w:t>的14.1</w:t>
      </w:r>
      <w:r>
        <w:rPr>
          <w:rFonts w:hint="eastAsia" w:asciiTheme="minorEastAsia" w:hAnsiTheme="minorEastAsia" w:cstheme="minorEastAsia"/>
          <w:b/>
          <w:bCs/>
          <w:color w:val="auto"/>
          <w:kern w:val="0"/>
          <w:sz w:val="28"/>
          <w:szCs w:val="28"/>
          <w:highlight w:val="none"/>
          <w:lang w:val="en-US" w:eastAsia="zh-CN" w:bidi="ar"/>
        </w:rPr>
        <w:t>0</w:t>
      </w:r>
      <w:r>
        <w:rPr>
          <w:rFonts w:hint="eastAsia" w:asciiTheme="minorEastAsia" w:hAnsiTheme="minorEastAsia" w:cstheme="minorEastAsia"/>
          <w:b/>
          <w:bCs/>
          <w:color w:val="auto"/>
          <w:kern w:val="0"/>
          <w:sz w:val="28"/>
          <w:szCs w:val="28"/>
          <w:highlight w:val="none"/>
          <w:lang w:bidi="ar"/>
        </w:rPr>
        <w:t>%</w:t>
      </w:r>
      <w:r>
        <w:rPr>
          <w:rFonts w:hint="eastAsia" w:asciiTheme="minorEastAsia" w:hAnsiTheme="minorEastAsia" w:cstheme="minorEastAsia"/>
          <w:color w:val="auto"/>
          <w:kern w:val="0"/>
          <w:sz w:val="28"/>
          <w:szCs w:val="28"/>
          <w:highlight w:val="none"/>
          <w:lang w:bidi="ar"/>
        </w:rPr>
        <w:t>，否则报价视为无效响应。</w:t>
      </w:r>
    </w:p>
    <w:p w14:paraId="58B7B7DA">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Theme="minorEastAsia" w:hAnsiTheme="minorEastAsia" w:cstheme="minorEastAsia"/>
          <w:b/>
          <w:bCs/>
          <w:color w:val="auto"/>
          <w:kern w:val="0"/>
          <w:sz w:val="28"/>
          <w:szCs w:val="28"/>
          <w:highlight w:val="none"/>
          <w:lang w:val="en-US" w:eastAsia="zh-CN" w:bidi="ar"/>
        </w:rPr>
      </w:pPr>
      <w:r>
        <w:rPr>
          <w:rFonts w:hint="eastAsia" w:asciiTheme="minorEastAsia" w:hAnsiTheme="minorEastAsia" w:cstheme="minorEastAsia"/>
          <w:color w:val="auto"/>
          <w:kern w:val="0"/>
          <w:sz w:val="28"/>
          <w:szCs w:val="28"/>
          <w:highlight w:val="none"/>
          <w:lang w:val="en-US" w:eastAsia="zh-CN" w:bidi="ar"/>
        </w:rPr>
        <w:t>2.</w:t>
      </w:r>
      <w:r>
        <w:rPr>
          <w:rFonts w:hint="eastAsia" w:asciiTheme="minorEastAsia" w:hAnsiTheme="minorEastAsia" w:cstheme="minorEastAsia"/>
          <w:b/>
          <w:bCs/>
          <w:color w:val="auto"/>
          <w:kern w:val="0"/>
          <w:sz w:val="28"/>
          <w:szCs w:val="28"/>
          <w:highlight w:val="none"/>
          <w:lang w:val="en-US" w:eastAsia="zh-CN" w:bidi="ar"/>
        </w:rPr>
        <w:t>我方知晓并同意</w:t>
      </w:r>
      <w:r>
        <w:rPr>
          <w:rFonts w:hint="eastAsia" w:asciiTheme="minorEastAsia" w:hAnsiTheme="minorEastAsia" w:cstheme="minorEastAsia"/>
          <w:b/>
          <w:bCs/>
          <w:color w:val="auto"/>
          <w:kern w:val="0"/>
          <w:sz w:val="28"/>
          <w:szCs w:val="28"/>
          <w:highlight w:val="none"/>
          <w:lang w:bidi="ar"/>
        </w:rPr>
        <w:t>附加免费延期180天</w:t>
      </w:r>
      <w:r>
        <w:rPr>
          <w:rFonts w:hint="eastAsia" w:asciiTheme="minorEastAsia" w:hAnsiTheme="minorEastAsia" w:cstheme="minorEastAsia"/>
          <w:b/>
          <w:bCs/>
          <w:color w:val="auto"/>
          <w:kern w:val="0"/>
          <w:sz w:val="28"/>
          <w:szCs w:val="28"/>
          <w:highlight w:val="none"/>
          <w:lang w:eastAsia="zh-CN" w:bidi="ar"/>
        </w:rPr>
        <w:t>、三者保额每次事故赔偿限额300万元</w:t>
      </w:r>
      <w:r>
        <w:rPr>
          <w:rFonts w:hint="eastAsia" w:asciiTheme="minorEastAsia" w:hAnsiTheme="minorEastAsia" w:cstheme="minorEastAsia"/>
          <w:b/>
          <w:bCs/>
          <w:color w:val="auto"/>
          <w:kern w:val="0"/>
          <w:sz w:val="28"/>
          <w:szCs w:val="28"/>
          <w:highlight w:val="none"/>
          <w:lang w:val="en-US" w:eastAsia="zh-CN" w:bidi="ar"/>
        </w:rPr>
        <w:t>，附加费率</w:t>
      </w:r>
      <w:r>
        <w:rPr>
          <w:rFonts w:hint="eastAsia" w:asciiTheme="minorEastAsia" w:hAnsiTheme="minorEastAsia" w:cstheme="minorEastAsia"/>
          <w:b/>
          <w:bCs/>
          <w:color w:val="auto"/>
          <w:kern w:val="0"/>
          <w:sz w:val="28"/>
          <w:szCs w:val="28"/>
          <w:highlight w:val="none"/>
          <w:lang w:bidi="ar"/>
        </w:rPr>
        <w:t>0.</w:t>
      </w:r>
      <w:r>
        <w:rPr>
          <w:rFonts w:hint="eastAsia" w:asciiTheme="minorEastAsia" w:hAnsiTheme="minorEastAsia" w:cstheme="minorEastAsia"/>
          <w:b/>
          <w:bCs/>
          <w:color w:val="auto"/>
          <w:kern w:val="0"/>
          <w:sz w:val="28"/>
          <w:szCs w:val="28"/>
          <w:highlight w:val="none"/>
          <w:lang w:val="en-US" w:eastAsia="zh-CN" w:bidi="ar"/>
        </w:rPr>
        <w:t>10‰</w:t>
      </w:r>
      <w:r>
        <w:rPr>
          <w:rFonts w:hint="eastAsia" w:asciiTheme="minorEastAsia" w:hAnsiTheme="minorEastAsia" w:cstheme="minorEastAsia"/>
          <w:b/>
          <w:bCs/>
          <w:color w:val="auto"/>
          <w:kern w:val="0"/>
          <w:sz w:val="28"/>
          <w:szCs w:val="28"/>
          <w:highlight w:val="none"/>
          <w:lang w:eastAsia="zh-CN" w:bidi="ar"/>
        </w:rPr>
        <w:t>；</w:t>
      </w:r>
      <w:r>
        <w:rPr>
          <w:rFonts w:hint="eastAsia" w:asciiTheme="minorEastAsia" w:hAnsiTheme="minorEastAsia" w:cstheme="minorEastAsia"/>
          <w:b/>
          <w:bCs/>
          <w:color w:val="auto"/>
          <w:kern w:val="0"/>
          <w:sz w:val="28"/>
          <w:szCs w:val="28"/>
          <w:highlight w:val="none"/>
          <w:lang w:bidi="ar"/>
        </w:rPr>
        <w:t>附加建筑</w:t>
      </w:r>
      <w:r>
        <w:rPr>
          <w:rFonts w:hint="eastAsia" w:asciiTheme="minorEastAsia" w:hAnsiTheme="minorEastAsia" w:cstheme="minorEastAsia"/>
          <w:b/>
          <w:bCs/>
          <w:color w:val="auto"/>
          <w:kern w:val="0"/>
          <w:sz w:val="28"/>
          <w:szCs w:val="28"/>
          <w:highlight w:val="none"/>
          <w:lang w:eastAsia="zh-CN" w:bidi="ar"/>
        </w:rPr>
        <w:t>、</w:t>
      </w:r>
      <w:r>
        <w:rPr>
          <w:rFonts w:hint="eastAsia" w:asciiTheme="minorEastAsia" w:hAnsiTheme="minorEastAsia" w:cstheme="minorEastAsia"/>
          <w:b/>
          <w:bCs/>
          <w:color w:val="auto"/>
          <w:kern w:val="0"/>
          <w:sz w:val="28"/>
          <w:szCs w:val="28"/>
          <w:highlight w:val="none"/>
          <w:lang w:bidi="ar"/>
        </w:rPr>
        <w:t>安装</w:t>
      </w:r>
      <w:r>
        <w:rPr>
          <w:rFonts w:hint="eastAsia" w:asciiTheme="minorEastAsia" w:hAnsiTheme="minorEastAsia" w:cstheme="minorEastAsia"/>
          <w:b/>
          <w:bCs/>
          <w:color w:val="auto"/>
          <w:kern w:val="0"/>
          <w:sz w:val="28"/>
          <w:szCs w:val="28"/>
          <w:highlight w:val="none"/>
          <w:lang w:val="en-US" w:eastAsia="zh-CN" w:bidi="ar"/>
        </w:rPr>
        <w:t>施工</w:t>
      </w:r>
      <w:r>
        <w:rPr>
          <w:rFonts w:hint="eastAsia" w:asciiTheme="minorEastAsia" w:hAnsiTheme="minorEastAsia" w:cstheme="minorEastAsia"/>
          <w:b/>
          <w:bCs/>
          <w:color w:val="auto"/>
          <w:kern w:val="0"/>
          <w:sz w:val="28"/>
          <w:szCs w:val="28"/>
          <w:highlight w:val="none"/>
          <w:lang w:bidi="ar"/>
        </w:rPr>
        <w:t>机具</w:t>
      </w:r>
      <w:r>
        <w:rPr>
          <w:rFonts w:hint="eastAsia" w:asciiTheme="minorEastAsia" w:hAnsiTheme="minorEastAsia" w:cstheme="minorEastAsia"/>
          <w:b/>
          <w:bCs/>
          <w:color w:val="auto"/>
          <w:kern w:val="0"/>
          <w:sz w:val="28"/>
          <w:szCs w:val="28"/>
          <w:highlight w:val="none"/>
          <w:lang w:val="en-US" w:eastAsia="zh-CN" w:bidi="ar"/>
        </w:rPr>
        <w:t>等被保内容，附加费率</w:t>
      </w:r>
      <w:r>
        <w:rPr>
          <w:rFonts w:hint="eastAsia" w:asciiTheme="minorEastAsia" w:hAnsiTheme="minorEastAsia" w:cstheme="minorEastAsia"/>
          <w:b/>
          <w:bCs/>
          <w:color w:val="auto"/>
          <w:kern w:val="0"/>
          <w:sz w:val="28"/>
          <w:szCs w:val="28"/>
          <w:highlight w:val="none"/>
          <w:lang w:bidi="ar"/>
        </w:rPr>
        <w:t>0.</w:t>
      </w:r>
      <w:r>
        <w:rPr>
          <w:rFonts w:hint="eastAsia" w:asciiTheme="minorEastAsia" w:hAnsiTheme="minorEastAsia" w:cstheme="minorEastAsia"/>
          <w:b/>
          <w:bCs/>
          <w:color w:val="auto"/>
          <w:kern w:val="0"/>
          <w:sz w:val="28"/>
          <w:szCs w:val="28"/>
          <w:highlight w:val="none"/>
          <w:lang w:val="en-US" w:eastAsia="zh-CN" w:bidi="ar"/>
        </w:rPr>
        <w:t>10‰，</w:t>
      </w:r>
      <w:r>
        <w:rPr>
          <w:rFonts w:hint="eastAsia" w:asciiTheme="minorEastAsia" w:hAnsiTheme="minorEastAsia" w:cstheme="minorEastAsia"/>
          <w:b/>
          <w:bCs/>
          <w:color w:val="auto"/>
          <w:kern w:val="0"/>
          <w:sz w:val="28"/>
          <w:szCs w:val="28"/>
          <w:highlight w:val="none"/>
          <w:lang w:bidi="ar"/>
        </w:rPr>
        <w:t>附加震动</w:t>
      </w:r>
      <w:r>
        <w:rPr>
          <w:rFonts w:hint="eastAsia" w:asciiTheme="minorEastAsia" w:hAnsiTheme="minorEastAsia" w:cstheme="minorEastAsia"/>
          <w:b/>
          <w:bCs/>
          <w:color w:val="auto"/>
          <w:kern w:val="0"/>
          <w:sz w:val="28"/>
          <w:szCs w:val="28"/>
          <w:highlight w:val="none"/>
          <w:lang w:eastAsia="zh-CN" w:bidi="ar"/>
        </w:rPr>
        <w:t>、</w:t>
      </w:r>
      <w:r>
        <w:rPr>
          <w:rFonts w:hint="eastAsia" w:asciiTheme="minorEastAsia" w:hAnsiTheme="minorEastAsia" w:cstheme="minorEastAsia"/>
          <w:b/>
          <w:bCs/>
          <w:color w:val="auto"/>
          <w:kern w:val="0"/>
          <w:sz w:val="28"/>
          <w:szCs w:val="28"/>
          <w:highlight w:val="none"/>
          <w:lang w:bidi="ar"/>
        </w:rPr>
        <w:t>移动条款、地上建筑开裂责任条款</w:t>
      </w:r>
      <w:r>
        <w:rPr>
          <w:rFonts w:hint="eastAsia" w:asciiTheme="minorEastAsia" w:hAnsiTheme="minorEastAsia" w:cstheme="minorEastAsia"/>
          <w:b/>
          <w:bCs/>
          <w:color w:val="auto"/>
          <w:kern w:val="0"/>
          <w:sz w:val="28"/>
          <w:szCs w:val="28"/>
          <w:highlight w:val="none"/>
          <w:lang w:eastAsia="zh-CN" w:bidi="ar"/>
        </w:rPr>
        <w:t>，</w:t>
      </w:r>
      <w:r>
        <w:rPr>
          <w:rFonts w:hint="eastAsia" w:asciiTheme="minorEastAsia" w:hAnsiTheme="minorEastAsia" w:cstheme="minorEastAsia"/>
          <w:b/>
          <w:bCs/>
          <w:color w:val="auto"/>
          <w:kern w:val="0"/>
          <w:sz w:val="28"/>
          <w:szCs w:val="28"/>
          <w:highlight w:val="none"/>
          <w:lang w:val="en-US" w:eastAsia="zh-CN" w:bidi="ar"/>
        </w:rPr>
        <w:t>附加费率</w:t>
      </w:r>
      <w:r>
        <w:rPr>
          <w:rFonts w:hint="eastAsia" w:asciiTheme="minorEastAsia" w:hAnsiTheme="minorEastAsia" w:cstheme="minorEastAsia"/>
          <w:b/>
          <w:bCs/>
          <w:color w:val="auto"/>
          <w:kern w:val="0"/>
          <w:sz w:val="28"/>
          <w:szCs w:val="28"/>
          <w:highlight w:val="none"/>
          <w:lang w:bidi="ar"/>
        </w:rPr>
        <w:t>0.</w:t>
      </w:r>
      <w:r>
        <w:rPr>
          <w:rFonts w:hint="eastAsia" w:asciiTheme="minorEastAsia" w:hAnsiTheme="minorEastAsia" w:cstheme="minorEastAsia"/>
          <w:b/>
          <w:bCs/>
          <w:color w:val="auto"/>
          <w:kern w:val="0"/>
          <w:sz w:val="28"/>
          <w:szCs w:val="28"/>
          <w:highlight w:val="none"/>
          <w:lang w:val="en-US" w:eastAsia="zh-CN" w:bidi="ar"/>
        </w:rPr>
        <w:t>10‰</w:t>
      </w:r>
      <w:r>
        <w:rPr>
          <w:rFonts w:hint="eastAsia" w:asciiTheme="minorEastAsia" w:hAnsiTheme="minorEastAsia" w:cstheme="minorEastAsia"/>
          <w:b/>
          <w:bCs/>
          <w:color w:val="auto"/>
          <w:kern w:val="0"/>
          <w:sz w:val="28"/>
          <w:szCs w:val="28"/>
          <w:highlight w:val="none"/>
          <w:lang w:bidi="ar"/>
        </w:rPr>
        <w:t>，该费用为不可竞争费，在</w:t>
      </w:r>
      <w:r>
        <w:rPr>
          <w:rFonts w:hint="eastAsia" w:asciiTheme="minorEastAsia" w:hAnsiTheme="minorEastAsia" w:cstheme="minorEastAsia"/>
          <w:b/>
          <w:bCs/>
          <w:color w:val="auto"/>
          <w:kern w:val="0"/>
          <w:sz w:val="28"/>
          <w:szCs w:val="28"/>
          <w:highlight w:val="none"/>
          <w:lang w:eastAsia="zh-CN" w:bidi="ar"/>
        </w:rPr>
        <w:t>响应人</w:t>
      </w:r>
      <w:r>
        <w:rPr>
          <w:rFonts w:hint="eastAsia" w:asciiTheme="minorEastAsia" w:hAnsiTheme="minorEastAsia" w:cstheme="minorEastAsia"/>
          <w:b/>
          <w:bCs/>
          <w:color w:val="auto"/>
          <w:kern w:val="0"/>
          <w:sz w:val="28"/>
          <w:szCs w:val="28"/>
          <w:highlight w:val="none"/>
          <w:lang w:bidi="ar"/>
        </w:rPr>
        <w:t>报价时和合同签订时不允调整</w:t>
      </w:r>
      <w:r>
        <w:rPr>
          <w:rFonts w:hint="eastAsia" w:asciiTheme="minorEastAsia" w:hAnsiTheme="minorEastAsia" w:cstheme="minorEastAsia"/>
          <w:b/>
          <w:bCs/>
          <w:color w:val="auto"/>
          <w:kern w:val="0"/>
          <w:sz w:val="28"/>
          <w:szCs w:val="28"/>
          <w:highlight w:val="none"/>
          <w:lang w:eastAsia="zh-CN" w:bidi="ar"/>
        </w:rPr>
        <w:t>。</w:t>
      </w:r>
    </w:p>
    <w:p w14:paraId="7726D4C3">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b w:val="0"/>
          <w:bCs w:val="0"/>
          <w:color w:val="auto"/>
          <w:kern w:val="0"/>
          <w:sz w:val="28"/>
          <w:szCs w:val="28"/>
          <w:highlight w:val="none"/>
          <w:lang w:val="en-US" w:eastAsia="zh-CN" w:bidi="ar"/>
        </w:rPr>
        <w:t>3.</w:t>
      </w:r>
      <w:r>
        <w:rPr>
          <w:rFonts w:hint="eastAsia" w:asciiTheme="minorEastAsia" w:hAnsiTheme="minorEastAsia" w:cstheme="minorEastAsia"/>
          <w:color w:val="auto"/>
          <w:kern w:val="0"/>
          <w:sz w:val="28"/>
          <w:szCs w:val="28"/>
          <w:highlight w:val="none"/>
          <w:lang w:eastAsia="zh-CN" w:bidi="ar"/>
        </w:rPr>
        <w:t>响应人</w:t>
      </w:r>
      <w:r>
        <w:rPr>
          <w:rFonts w:hint="eastAsia" w:asciiTheme="minorEastAsia" w:hAnsiTheme="minorEastAsia" w:cstheme="minorEastAsia"/>
          <w:color w:val="auto"/>
          <w:kern w:val="0"/>
          <w:sz w:val="28"/>
          <w:szCs w:val="28"/>
          <w:highlight w:val="none"/>
          <w:lang w:bidi="ar"/>
        </w:rPr>
        <w:t>所报单价下浮百分比为统一下浮比例，结算时以</w:t>
      </w:r>
      <w:r>
        <w:rPr>
          <w:rFonts w:hint="eastAsia" w:asciiTheme="minorEastAsia" w:hAnsiTheme="minorEastAsia" w:cstheme="minorEastAsia"/>
          <w:color w:val="auto"/>
          <w:kern w:val="0"/>
          <w:sz w:val="28"/>
          <w:szCs w:val="28"/>
          <w:highlight w:val="none"/>
          <w:lang w:eastAsia="zh-CN" w:bidi="ar"/>
        </w:rPr>
        <w:t>采购人</w:t>
      </w:r>
      <w:r>
        <w:rPr>
          <w:rFonts w:hint="eastAsia" w:asciiTheme="minorEastAsia" w:hAnsiTheme="minorEastAsia" w:cstheme="minorEastAsia"/>
          <w:color w:val="auto"/>
          <w:kern w:val="0"/>
          <w:sz w:val="28"/>
          <w:szCs w:val="28"/>
          <w:highlight w:val="none"/>
          <w:lang w:bidi="ar"/>
        </w:rPr>
        <w:t>控制单价×（1-下浮百分比）的最终单价，</w:t>
      </w:r>
      <w:r>
        <w:rPr>
          <w:rFonts w:hint="eastAsia" w:asciiTheme="minorEastAsia" w:hAnsiTheme="minorEastAsia" w:cstheme="minorEastAsia"/>
          <w:b/>
          <w:bCs/>
          <w:color w:val="auto"/>
          <w:kern w:val="0"/>
          <w:sz w:val="28"/>
          <w:szCs w:val="28"/>
          <w:highlight w:val="none"/>
          <w:lang w:bidi="ar"/>
        </w:rPr>
        <w:t>计算结果保留两位小数，如**.**</w:t>
      </w:r>
      <w:r>
        <w:rPr>
          <w:rFonts w:hint="eastAsia" w:asciiTheme="minorEastAsia" w:hAnsiTheme="minorEastAsia" w:cstheme="minorEastAsia"/>
          <w:b/>
          <w:bCs/>
          <w:color w:val="auto"/>
          <w:kern w:val="0"/>
          <w:sz w:val="28"/>
          <w:szCs w:val="28"/>
          <w:highlight w:val="none"/>
          <w:lang w:eastAsia="zh-CN" w:bidi="ar"/>
        </w:rPr>
        <w:t>‰</w:t>
      </w:r>
      <w:r>
        <w:rPr>
          <w:rFonts w:hint="eastAsia" w:asciiTheme="minorEastAsia" w:hAnsiTheme="minorEastAsia" w:cstheme="minorEastAsia"/>
          <w:b/>
          <w:bCs/>
          <w:color w:val="auto"/>
          <w:kern w:val="0"/>
          <w:sz w:val="28"/>
          <w:szCs w:val="28"/>
          <w:highlight w:val="none"/>
          <w:lang w:bidi="ar"/>
        </w:rPr>
        <w:t>。</w:t>
      </w:r>
      <w:r>
        <w:rPr>
          <w:rFonts w:hint="eastAsia" w:asciiTheme="minorEastAsia" w:hAnsiTheme="minorEastAsia" w:cstheme="minorEastAsia"/>
          <w:color w:val="auto"/>
          <w:kern w:val="0"/>
          <w:sz w:val="28"/>
          <w:szCs w:val="28"/>
          <w:highlight w:val="none"/>
          <w:lang w:bidi="ar"/>
        </w:rPr>
        <w:t>报价不因市场波动、政策调整、人工涨跌等原因做任何形式调整。</w:t>
      </w:r>
    </w:p>
    <w:p w14:paraId="03DE6ADD">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color w:val="auto"/>
          <w:kern w:val="0"/>
          <w:sz w:val="28"/>
          <w:szCs w:val="28"/>
          <w:highlight w:val="none"/>
          <w:lang w:val="en-US" w:eastAsia="zh-CN" w:bidi="ar"/>
        </w:rPr>
        <w:t>4</w:t>
      </w:r>
      <w:r>
        <w:rPr>
          <w:rFonts w:hint="eastAsia" w:asciiTheme="minorEastAsia" w:hAnsiTheme="minorEastAsia" w:cstheme="minorEastAsia"/>
          <w:color w:val="auto"/>
          <w:kern w:val="0"/>
          <w:sz w:val="28"/>
          <w:szCs w:val="28"/>
          <w:highlight w:val="none"/>
          <w:lang w:bidi="ar"/>
        </w:rPr>
        <w:t>.响应人以本</w:t>
      </w:r>
      <w:r>
        <w:rPr>
          <w:rFonts w:hint="eastAsia" w:asciiTheme="minorEastAsia" w:hAnsiTheme="minorEastAsia" w:cstheme="minorEastAsia"/>
          <w:color w:val="auto"/>
          <w:kern w:val="0"/>
          <w:sz w:val="28"/>
          <w:szCs w:val="28"/>
          <w:highlight w:val="none"/>
          <w:lang w:eastAsia="zh-CN" w:bidi="ar"/>
        </w:rPr>
        <w:t>谈判文件</w:t>
      </w:r>
      <w:r>
        <w:rPr>
          <w:rFonts w:hint="eastAsia" w:asciiTheme="minorEastAsia" w:hAnsiTheme="minorEastAsia" w:cstheme="minorEastAsia"/>
          <w:color w:val="auto"/>
          <w:kern w:val="0"/>
          <w:sz w:val="28"/>
          <w:szCs w:val="28"/>
          <w:highlight w:val="none"/>
          <w:lang w:bidi="ar"/>
        </w:rPr>
        <w:t>年度保险标的值的设置，自行评估出报价下浮比例填写在报价函中，</w:t>
      </w:r>
      <w:r>
        <w:rPr>
          <w:rFonts w:hint="eastAsia" w:asciiTheme="minorEastAsia" w:hAnsiTheme="minorEastAsia" w:cstheme="minorEastAsia"/>
          <w:color w:val="auto"/>
          <w:kern w:val="0"/>
          <w:sz w:val="28"/>
          <w:szCs w:val="28"/>
          <w:highlight w:val="none"/>
          <w:lang w:val="en-US" w:eastAsia="zh-CN" w:bidi="ar"/>
        </w:rPr>
        <w:t>成交</w:t>
      </w:r>
      <w:r>
        <w:rPr>
          <w:rFonts w:hint="eastAsia" w:asciiTheme="minorEastAsia" w:hAnsiTheme="minorEastAsia" w:cstheme="minorEastAsia"/>
          <w:color w:val="auto"/>
          <w:kern w:val="0"/>
          <w:sz w:val="28"/>
          <w:szCs w:val="28"/>
          <w:highlight w:val="none"/>
          <w:lang w:bidi="ar"/>
        </w:rPr>
        <w:t>后根据实际工程造价按</w:t>
      </w:r>
      <w:r>
        <w:rPr>
          <w:rFonts w:hint="eastAsia" w:asciiTheme="minorEastAsia" w:hAnsiTheme="minorEastAsia" w:cstheme="minorEastAsia"/>
          <w:color w:val="auto"/>
          <w:kern w:val="0"/>
          <w:sz w:val="28"/>
          <w:szCs w:val="28"/>
          <w:highlight w:val="none"/>
          <w:lang w:val="en-US" w:eastAsia="zh-CN" w:bidi="ar"/>
        </w:rPr>
        <w:t>成交</w:t>
      </w:r>
      <w:r>
        <w:rPr>
          <w:rFonts w:hint="eastAsia" w:asciiTheme="minorEastAsia" w:hAnsiTheme="minorEastAsia" w:cstheme="minorEastAsia"/>
          <w:color w:val="auto"/>
          <w:kern w:val="0"/>
          <w:sz w:val="28"/>
          <w:szCs w:val="28"/>
          <w:highlight w:val="none"/>
          <w:lang w:bidi="ar"/>
        </w:rPr>
        <w:t>费率进行保费测算及结算。</w:t>
      </w:r>
      <w:r>
        <w:rPr>
          <w:rFonts w:hint="eastAsia" w:asciiTheme="minorEastAsia" w:hAnsiTheme="minorEastAsia" w:cstheme="minorEastAsia"/>
          <w:b/>
          <w:bCs/>
          <w:color w:val="auto"/>
          <w:sz w:val="28"/>
          <w:szCs w:val="28"/>
          <w:highlight w:val="none"/>
        </w:rPr>
        <w:t>报价包括国家规定的增值税税金</w:t>
      </w:r>
      <w:r>
        <w:rPr>
          <w:rFonts w:hint="eastAsia" w:asciiTheme="minorEastAsia" w:hAnsiTheme="minorEastAsia" w:cstheme="minorEastAsia"/>
          <w:b/>
          <w:bCs/>
          <w:color w:val="auto"/>
          <w:sz w:val="28"/>
          <w:szCs w:val="28"/>
          <w:highlight w:val="none"/>
          <w:lang w:eastAsia="zh-CN"/>
        </w:rPr>
        <w:t>，</w:t>
      </w:r>
      <w:r>
        <w:rPr>
          <w:rFonts w:hint="eastAsia" w:asciiTheme="minorEastAsia" w:hAnsiTheme="minorEastAsia" w:cstheme="minorEastAsia"/>
          <w:b/>
          <w:bCs/>
          <w:color w:val="auto"/>
          <w:sz w:val="28"/>
          <w:szCs w:val="28"/>
          <w:highlight w:val="none"/>
          <w:lang w:val="en-US" w:eastAsia="zh-CN"/>
        </w:rPr>
        <w:t>若结算时开具的发票为</w:t>
      </w:r>
      <w:r>
        <w:rPr>
          <w:rFonts w:hint="eastAsia" w:asciiTheme="minorEastAsia" w:hAnsiTheme="minorEastAsia" w:cstheme="minorEastAsia"/>
          <w:b/>
          <w:bCs/>
          <w:color w:val="auto"/>
          <w:sz w:val="28"/>
          <w:szCs w:val="28"/>
          <w:highlight w:val="none"/>
        </w:rPr>
        <w:t>增值税普通发票，</w:t>
      </w:r>
      <w:r>
        <w:rPr>
          <w:rFonts w:hint="eastAsia" w:asciiTheme="minorEastAsia" w:hAnsiTheme="minorEastAsia" w:cstheme="minorEastAsia"/>
          <w:b/>
          <w:bCs/>
          <w:color w:val="auto"/>
          <w:sz w:val="28"/>
          <w:szCs w:val="28"/>
          <w:highlight w:val="none"/>
          <w:lang w:eastAsia="zh-CN"/>
        </w:rPr>
        <w:t>则</w:t>
      </w:r>
      <w:r>
        <w:rPr>
          <w:rFonts w:hint="eastAsia" w:asciiTheme="minorEastAsia" w:hAnsiTheme="minorEastAsia" w:cstheme="minorEastAsia"/>
          <w:b/>
          <w:bCs/>
          <w:color w:val="auto"/>
          <w:sz w:val="28"/>
          <w:szCs w:val="28"/>
          <w:highlight w:val="none"/>
          <w:lang w:val="en-US" w:eastAsia="zh-CN"/>
        </w:rPr>
        <w:t>在成交金额的基础上</w:t>
      </w:r>
      <w:r>
        <w:rPr>
          <w:rFonts w:hint="eastAsia" w:asciiTheme="minorEastAsia" w:hAnsiTheme="minorEastAsia" w:cstheme="minorEastAsia"/>
          <w:b/>
          <w:bCs/>
          <w:color w:val="auto"/>
          <w:sz w:val="28"/>
          <w:szCs w:val="28"/>
          <w:highlight w:val="none"/>
        </w:rPr>
        <w:t>扣除6%</w:t>
      </w:r>
      <w:r>
        <w:rPr>
          <w:rFonts w:hint="eastAsia" w:asciiTheme="minorEastAsia" w:hAnsiTheme="minorEastAsia" w:cstheme="minorEastAsia"/>
          <w:b/>
          <w:bCs/>
          <w:color w:val="auto"/>
          <w:sz w:val="28"/>
          <w:szCs w:val="28"/>
          <w:highlight w:val="none"/>
          <w:lang w:val="en-US" w:eastAsia="zh-CN"/>
        </w:rPr>
        <w:t>作为最终结算金额</w:t>
      </w:r>
      <w:r>
        <w:rPr>
          <w:rFonts w:hint="eastAsia" w:asciiTheme="minorEastAsia" w:hAnsiTheme="minorEastAsia" w:cstheme="minorEastAsia"/>
          <w:b/>
          <w:bCs/>
          <w:color w:val="auto"/>
          <w:sz w:val="28"/>
          <w:szCs w:val="28"/>
          <w:highlight w:val="none"/>
          <w:lang w:eastAsia="zh-CN"/>
        </w:rPr>
        <w:t>。</w:t>
      </w:r>
    </w:p>
    <w:tbl>
      <w:tblPr>
        <w:tblStyle w:val="31"/>
        <w:tblW w:w="5078" w:type="pct"/>
        <w:tblInd w:w="0"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autofit"/>
        <w:tblCellMar>
          <w:top w:w="0" w:type="dxa"/>
          <w:left w:w="108" w:type="dxa"/>
          <w:bottom w:w="0" w:type="dxa"/>
          <w:right w:w="108" w:type="dxa"/>
        </w:tblCellMar>
      </w:tblPr>
      <w:tblGrid>
        <w:gridCol w:w="1031"/>
        <w:gridCol w:w="1336"/>
        <w:gridCol w:w="821"/>
        <w:gridCol w:w="1173"/>
        <w:gridCol w:w="2116"/>
        <w:gridCol w:w="1527"/>
        <w:gridCol w:w="1773"/>
      </w:tblGrid>
      <w:tr w14:paraId="1564A52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99" w:hRule="atLeast"/>
          <w:tblHeader/>
        </w:trPr>
        <w:tc>
          <w:tcPr>
            <w:tcW w:w="527" w:type="pct"/>
            <w:tcBorders>
              <w:bottom w:val="single" w:color="000000" w:sz="4" w:space="0"/>
              <w:right w:val="single" w:color="000000" w:sz="4" w:space="0"/>
            </w:tcBorders>
            <w:shd w:val="clear" w:color="auto" w:fill="auto"/>
            <w:vAlign w:val="center"/>
          </w:tcPr>
          <w:p w14:paraId="0097310C">
            <w:pPr>
              <w:keepNext w:val="0"/>
              <w:jc w:val="center"/>
              <w:textAlignment w:val="center"/>
              <w:rPr>
                <w:rFonts w:ascii="Times New Roman" w:hAnsi="Times New Roman" w:eastAsia="宋体" w:cs="Times New Roman"/>
                <w:b/>
                <w:bCs/>
                <w:color w:val="auto"/>
                <w:sz w:val="20"/>
                <w:szCs w:val="20"/>
                <w:highlight w:val="none"/>
              </w:rPr>
            </w:pPr>
            <w:r>
              <w:rPr>
                <w:rFonts w:ascii="Times New Roman" w:hAnsi="Times New Roman" w:eastAsia="宋体" w:cs="Times New Roman"/>
                <w:b/>
                <w:bCs/>
                <w:color w:val="auto"/>
                <w:kern w:val="0"/>
                <w:sz w:val="20"/>
                <w:szCs w:val="20"/>
                <w:highlight w:val="none"/>
                <w:lang w:bidi="ar"/>
              </w:rPr>
              <w:t>标包</w:t>
            </w:r>
          </w:p>
        </w:tc>
        <w:tc>
          <w:tcPr>
            <w:tcW w:w="683" w:type="pct"/>
            <w:tcBorders>
              <w:left w:val="single" w:color="000000" w:sz="4" w:space="0"/>
              <w:bottom w:val="single" w:color="000000" w:sz="4" w:space="0"/>
              <w:right w:val="single" w:color="000000" w:sz="4" w:space="0"/>
            </w:tcBorders>
            <w:shd w:val="clear" w:color="auto" w:fill="auto"/>
            <w:vAlign w:val="center"/>
          </w:tcPr>
          <w:p w14:paraId="2A272512">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类别</w:t>
            </w:r>
          </w:p>
        </w:tc>
        <w:tc>
          <w:tcPr>
            <w:tcW w:w="420" w:type="pct"/>
            <w:tcBorders>
              <w:left w:val="single" w:color="000000" w:sz="4" w:space="0"/>
              <w:bottom w:val="single" w:color="000000" w:sz="4" w:space="0"/>
              <w:right w:val="single" w:color="000000" w:sz="4" w:space="0"/>
            </w:tcBorders>
            <w:shd w:val="clear" w:color="auto" w:fill="auto"/>
            <w:vAlign w:val="center"/>
          </w:tcPr>
          <w:p w14:paraId="2223CA3F">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序号</w:t>
            </w:r>
          </w:p>
        </w:tc>
        <w:tc>
          <w:tcPr>
            <w:tcW w:w="600" w:type="pct"/>
            <w:tcBorders>
              <w:left w:val="single" w:color="000000" w:sz="4" w:space="0"/>
              <w:bottom w:val="single" w:color="000000" w:sz="4" w:space="0"/>
              <w:right w:val="single" w:color="000000" w:sz="4" w:space="0"/>
            </w:tcBorders>
            <w:shd w:val="clear" w:color="auto" w:fill="auto"/>
            <w:vAlign w:val="center"/>
          </w:tcPr>
          <w:p w14:paraId="1BB8FBDE">
            <w:pPr>
              <w:keepNext w:val="0"/>
              <w:jc w:val="center"/>
              <w:textAlignment w:val="center"/>
              <w:rPr>
                <w:rFonts w:hint="eastAsia" w:ascii="Times New Roman" w:hAnsi="Times New Roman" w:eastAsia="宋体" w:cs="Times New Roman"/>
                <w:b/>
                <w:bCs/>
                <w:color w:val="auto"/>
                <w:sz w:val="20"/>
                <w:szCs w:val="20"/>
                <w:highlight w:val="none"/>
                <w:lang w:eastAsia="zh-CN"/>
              </w:rPr>
            </w:pPr>
            <w:r>
              <w:rPr>
                <w:rFonts w:hint="eastAsia" w:ascii="Times New Roman" w:hAnsi="Times New Roman" w:eastAsia="宋体" w:cs="Times New Roman"/>
                <w:b/>
                <w:bCs/>
                <w:color w:val="auto"/>
                <w:kern w:val="0"/>
                <w:sz w:val="20"/>
                <w:szCs w:val="20"/>
                <w:highlight w:val="none"/>
                <w:lang w:eastAsia="zh-CN" w:bidi="ar"/>
              </w:rPr>
              <w:t>投保金额</w:t>
            </w:r>
          </w:p>
        </w:tc>
        <w:tc>
          <w:tcPr>
            <w:tcW w:w="1082" w:type="pct"/>
            <w:tcBorders>
              <w:left w:val="single" w:color="000000" w:sz="4" w:space="0"/>
              <w:bottom w:val="single" w:color="000000" w:sz="4" w:space="0"/>
              <w:right w:val="single" w:color="000000" w:sz="4" w:space="0"/>
            </w:tcBorders>
            <w:shd w:val="clear" w:color="auto" w:fill="auto"/>
            <w:vAlign w:val="center"/>
          </w:tcPr>
          <w:p w14:paraId="57BFF896">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险种名称</w:t>
            </w:r>
          </w:p>
        </w:tc>
        <w:tc>
          <w:tcPr>
            <w:tcW w:w="778" w:type="pct"/>
            <w:tcBorders>
              <w:left w:val="single" w:color="000000" w:sz="4" w:space="0"/>
              <w:bottom w:val="single" w:color="000000" w:sz="4" w:space="0"/>
              <w:right w:val="single" w:color="000000" w:sz="4" w:space="0"/>
            </w:tcBorders>
            <w:shd w:val="clear" w:color="auto" w:fill="auto"/>
            <w:vAlign w:val="center"/>
          </w:tcPr>
          <w:p w14:paraId="5573ED4C">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含可抵扣增值税费率</w:t>
            </w:r>
          </w:p>
        </w:tc>
        <w:tc>
          <w:tcPr>
            <w:tcW w:w="906" w:type="pct"/>
            <w:tcBorders>
              <w:left w:val="single" w:color="000000" w:sz="4" w:space="0"/>
              <w:bottom w:val="single" w:color="000000" w:sz="4" w:space="0"/>
            </w:tcBorders>
            <w:shd w:val="clear" w:color="auto" w:fill="auto"/>
            <w:vAlign w:val="center"/>
          </w:tcPr>
          <w:p w14:paraId="00B0C864">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备注</w:t>
            </w:r>
          </w:p>
        </w:tc>
      </w:tr>
      <w:tr w14:paraId="2696BE6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restart"/>
            <w:tcBorders>
              <w:top w:val="single" w:color="000000" w:sz="4" w:space="0"/>
              <w:bottom w:val="single" w:color="000000" w:sz="4" w:space="0"/>
              <w:right w:val="single" w:color="000000" w:sz="4" w:space="0"/>
            </w:tcBorders>
            <w:shd w:val="clear" w:color="auto" w:fill="auto"/>
            <w:vAlign w:val="center"/>
          </w:tcPr>
          <w:p w14:paraId="4A963406">
            <w:pPr>
              <w:keepNext w:val="0"/>
              <w:jc w:val="center"/>
              <w:textAlignment w:val="center"/>
              <w:rPr>
                <w:rFonts w:hint="eastAsia" w:ascii="Times New Roman" w:hAnsi="Times New Roman" w:eastAsia="宋体" w:cs="Times New Roman"/>
                <w:color w:val="auto"/>
                <w:sz w:val="20"/>
                <w:szCs w:val="20"/>
                <w:highlight w:val="none"/>
                <w:lang w:eastAsia="zh-CN"/>
              </w:rPr>
            </w:pPr>
            <w:r>
              <w:rPr>
                <w:rFonts w:hint="eastAsia" w:ascii="Times New Roman" w:hAnsi="Times New Roman" w:eastAsia="宋体" w:cs="Times New Roman"/>
                <w:color w:val="auto"/>
                <w:kern w:val="0"/>
                <w:sz w:val="20"/>
                <w:szCs w:val="20"/>
                <w:highlight w:val="none"/>
                <w:lang w:eastAsia="zh-CN" w:bidi="ar"/>
              </w:rPr>
              <w:t>03标包</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5FABB">
            <w:pPr>
              <w:keepNext w:val="0"/>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承保项目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85AC">
            <w:pPr>
              <w:keepNext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A55E4">
            <w:pPr>
              <w:keepNext w:val="0"/>
              <w:jc w:val="center"/>
              <w:textAlignment w:val="center"/>
              <w:rPr>
                <w:rFonts w:hint="eastAsia"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lang w:eastAsia="zh-CN" w:bidi="ar"/>
              </w:rPr>
              <w:t>100亿元/年</w:t>
            </w: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93A9">
            <w:pPr>
              <w:keepNext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建筑工程一切险及第三者责任险</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73AA">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restart"/>
            <w:tcBorders>
              <w:top w:val="single" w:color="000000" w:sz="4" w:space="0"/>
              <w:left w:val="single" w:color="000000" w:sz="4" w:space="0"/>
              <w:bottom w:val="single" w:color="000000" w:sz="4" w:space="0"/>
            </w:tcBorders>
            <w:shd w:val="clear" w:color="auto" w:fill="auto"/>
            <w:vAlign w:val="center"/>
          </w:tcPr>
          <w:p w14:paraId="216E6A13">
            <w:pPr>
              <w:keepNext w:val="0"/>
              <w:jc w:val="both"/>
              <w:textAlignment w:val="center"/>
              <w:rPr>
                <w:rFonts w:hint="eastAsia"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甲方投保，受益人为甲方，保费由甲方支付</w:t>
            </w:r>
            <w:r>
              <w:rPr>
                <w:rFonts w:hint="eastAsia" w:ascii="Times New Roman" w:hAnsi="Times New Roman" w:eastAsia="宋体" w:cs="Times New Roman"/>
                <w:color w:val="auto"/>
                <w:kern w:val="0"/>
                <w:sz w:val="20"/>
                <w:szCs w:val="20"/>
                <w:highlight w:val="none"/>
                <w:lang w:eastAsia="zh-CN" w:bidi="ar"/>
              </w:rPr>
              <w:t>；（保留两位小数）。</w:t>
            </w:r>
          </w:p>
        </w:tc>
      </w:tr>
      <w:tr w14:paraId="5CEF9A3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continue"/>
            <w:tcBorders>
              <w:top w:val="single" w:color="000000" w:sz="4" w:space="0"/>
              <w:bottom w:val="single" w:color="000000" w:sz="4" w:space="0"/>
              <w:right w:val="single" w:color="000000" w:sz="4" w:space="0"/>
            </w:tcBorders>
            <w:shd w:val="clear" w:color="auto" w:fill="auto"/>
            <w:vAlign w:val="center"/>
          </w:tcPr>
          <w:p w14:paraId="5065C36B">
            <w:pPr>
              <w:keepNext w:val="0"/>
              <w:jc w:val="center"/>
              <w:rPr>
                <w:rFonts w:ascii="Times New Roman" w:hAnsi="Times New Roman" w:eastAsia="宋体" w:cs="Times New Roman"/>
                <w:color w:val="auto"/>
                <w:sz w:val="20"/>
                <w:szCs w:val="20"/>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ACD1E">
            <w:pPr>
              <w:keepNext w:val="0"/>
              <w:jc w:val="center"/>
              <w:rPr>
                <w:rFonts w:ascii="Times New Roman" w:hAnsi="Times New Roman" w:eastAsia="宋体" w:cs="Times New Roman"/>
                <w:color w:val="auto"/>
                <w:sz w:val="20"/>
                <w:szCs w:val="20"/>
                <w:highlight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8ACF">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9A34">
            <w:pPr>
              <w:keepNext w:val="0"/>
              <w:jc w:val="center"/>
              <w:rPr>
                <w:rFonts w:ascii="Times New Roman" w:hAnsi="Times New Roman" w:eastAsia="宋体" w:cs="Times New Roman"/>
                <w:color w:val="auto"/>
                <w:sz w:val="20"/>
                <w:szCs w:val="20"/>
                <w:highlight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2102">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3BFA">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continue"/>
            <w:tcBorders>
              <w:top w:val="single" w:color="000000" w:sz="4" w:space="0"/>
              <w:left w:val="single" w:color="000000" w:sz="4" w:space="0"/>
              <w:bottom w:val="single" w:color="000000" w:sz="4" w:space="0"/>
            </w:tcBorders>
            <w:shd w:val="clear" w:color="auto" w:fill="auto"/>
            <w:vAlign w:val="center"/>
          </w:tcPr>
          <w:p w14:paraId="439870BF">
            <w:pPr>
              <w:keepNext w:val="0"/>
              <w:jc w:val="center"/>
              <w:rPr>
                <w:rFonts w:ascii="Times New Roman" w:hAnsi="Times New Roman" w:eastAsia="宋体" w:cs="Times New Roman"/>
                <w:color w:val="auto"/>
                <w:sz w:val="20"/>
                <w:szCs w:val="20"/>
                <w:highlight w:val="none"/>
              </w:rPr>
            </w:pPr>
          </w:p>
        </w:tc>
      </w:tr>
      <w:tr w14:paraId="6BEA087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continue"/>
            <w:tcBorders>
              <w:top w:val="single" w:color="000000" w:sz="4" w:space="0"/>
              <w:bottom w:val="single" w:color="000000" w:sz="4" w:space="0"/>
              <w:right w:val="single" w:color="000000" w:sz="4" w:space="0"/>
            </w:tcBorders>
            <w:shd w:val="clear" w:color="auto" w:fill="auto"/>
            <w:vAlign w:val="center"/>
          </w:tcPr>
          <w:p w14:paraId="6AE2E83F">
            <w:pPr>
              <w:keepNext w:val="0"/>
              <w:jc w:val="center"/>
              <w:rPr>
                <w:rFonts w:ascii="Times New Roman" w:hAnsi="Times New Roman" w:eastAsia="宋体" w:cs="Times New Roman"/>
                <w:color w:val="auto"/>
                <w:sz w:val="20"/>
                <w:szCs w:val="20"/>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11498">
            <w:pPr>
              <w:keepNext w:val="0"/>
              <w:jc w:val="center"/>
              <w:rPr>
                <w:rFonts w:ascii="Times New Roman" w:hAnsi="Times New Roman" w:eastAsia="宋体" w:cs="Times New Roman"/>
                <w:color w:val="auto"/>
                <w:sz w:val="20"/>
                <w:szCs w:val="20"/>
                <w:highlight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80E1">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3</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FB83">
            <w:pPr>
              <w:keepNext w:val="0"/>
              <w:jc w:val="center"/>
              <w:rPr>
                <w:rFonts w:ascii="Times New Roman" w:hAnsi="Times New Roman" w:eastAsia="宋体" w:cs="Times New Roman"/>
                <w:color w:val="auto"/>
                <w:sz w:val="20"/>
                <w:szCs w:val="20"/>
                <w:highlight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4F29">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建工雇主险（或建工安责险附加雇主责任）</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1FF6">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continue"/>
            <w:tcBorders>
              <w:top w:val="single" w:color="000000" w:sz="4" w:space="0"/>
              <w:left w:val="single" w:color="000000" w:sz="4" w:space="0"/>
              <w:bottom w:val="single" w:color="000000" w:sz="4" w:space="0"/>
            </w:tcBorders>
            <w:shd w:val="clear" w:color="auto" w:fill="auto"/>
            <w:vAlign w:val="center"/>
          </w:tcPr>
          <w:p w14:paraId="39789827">
            <w:pPr>
              <w:keepNext w:val="0"/>
              <w:jc w:val="center"/>
              <w:rPr>
                <w:rFonts w:ascii="Times New Roman" w:hAnsi="Times New Roman" w:eastAsia="宋体" w:cs="Times New Roman"/>
                <w:color w:val="auto"/>
                <w:sz w:val="20"/>
                <w:szCs w:val="20"/>
                <w:highlight w:val="none"/>
              </w:rPr>
            </w:pPr>
          </w:p>
        </w:tc>
      </w:tr>
      <w:tr w14:paraId="4631C9F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continue"/>
            <w:tcBorders>
              <w:top w:val="single" w:color="000000" w:sz="4" w:space="0"/>
              <w:bottom w:val="single" w:color="000000" w:sz="4" w:space="0"/>
              <w:right w:val="single" w:color="000000" w:sz="4" w:space="0"/>
            </w:tcBorders>
            <w:shd w:val="clear" w:color="auto" w:fill="auto"/>
            <w:vAlign w:val="center"/>
          </w:tcPr>
          <w:p w14:paraId="66BFDE21">
            <w:pPr>
              <w:keepNext w:val="0"/>
              <w:jc w:val="center"/>
              <w:rPr>
                <w:rFonts w:ascii="Times New Roman" w:hAnsi="Times New Roman" w:eastAsia="宋体" w:cs="Times New Roman"/>
                <w:color w:val="auto"/>
                <w:sz w:val="20"/>
                <w:szCs w:val="20"/>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30F0">
            <w:pPr>
              <w:keepNext w:val="0"/>
              <w:jc w:val="center"/>
              <w:rPr>
                <w:rFonts w:ascii="Times New Roman" w:hAnsi="Times New Roman" w:eastAsia="宋体" w:cs="Times New Roman"/>
                <w:color w:val="auto"/>
                <w:sz w:val="20"/>
                <w:szCs w:val="20"/>
                <w:highlight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3DA7">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4</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70E67">
            <w:pPr>
              <w:keepNext w:val="0"/>
              <w:jc w:val="center"/>
              <w:rPr>
                <w:rFonts w:ascii="Times New Roman" w:hAnsi="Times New Roman" w:eastAsia="宋体" w:cs="Times New Roman"/>
                <w:color w:val="auto"/>
                <w:sz w:val="20"/>
                <w:szCs w:val="20"/>
                <w:highlight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B391">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建工安责险</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5362">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continue"/>
            <w:tcBorders>
              <w:top w:val="single" w:color="000000" w:sz="4" w:space="0"/>
              <w:left w:val="single" w:color="000000" w:sz="4" w:space="0"/>
              <w:bottom w:val="single" w:color="000000" w:sz="4" w:space="0"/>
            </w:tcBorders>
            <w:shd w:val="clear" w:color="auto" w:fill="auto"/>
            <w:vAlign w:val="center"/>
          </w:tcPr>
          <w:p w14:paraId="1D41DBBF">
            <w:pPr>
              <w:keepNext w:val="0"/>
              <w:jc w:val="center"/>
              <w:rPr>
                <w:rFonts w:ascii="Times New Roman" w:hAnsi="Times New Roman" w:eastAsia="宋体" w:cs="Times New Roman"/>
                <w:color w:val="auto"/>
                <w:sz w:val="20"/>
                <w:szCs w:val="20"/>
                <w:highlight w:val="none"/>
              </w:rPr>
            </w:pPr>
          </w:p>
        </w:tc>
      </w:tr>
      <w:tr w14:paraId="0C1F96A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continue"/>
            <w:tcBorders>
              <w:top w:val="single" w:color="000000" w:sz="4" w:space="0"/>
              <w:bottom w:val="single" w:color="000000" w:sz="4" w:space="0"/>
              <w:right w:val="single" w:color="000000" w:sz="4" w:space="0"/>
            </w:tcBorders>
            <w:shd w:val="clear" w:color="auto" w:fill="auto"/>
            <w:vAlign w:val="center"/>
          </w:tcPr>
          <w:p w14:paraId="287EE750">
            <w:pPr>
              <w:keepNext w:val="0"/>
              <w:jc w:val="center"/>
              <w:rPr>
                <w:rFonts w:ascii="Times New Roman" w:hAnsi="Times New Roman" w:eastAsia="宋体" w:cs="Times New Roman"/>
                <w:color w:val="auto"/>
                <w:sz w:val="20"/>
                <w:szCs w:val="20"/>
                <w:highlight w:val="none"/>
              </w:rPr>
            </w:pP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037CB">
            <w:pPr>
              <w:keepNext w:val="0"/>
              <w:widowControl w:val="0"/>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对下施工分包</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1748">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08585">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lang w:val="en-US" w:eastAsia="zh-CN" w:bidi="ar"/>
              </w:rPr>
              <w:t>20</w:t>
            </w:r>
            <w:r>
              <w:rPr>
                <w:rFonts w:hint="default" w:ascii="Times New Roman" w:hAnsi="Times New Roman" w:eastAsia="宋体" w:cs="Times New Roman"/>
                <w:color w:val="auto"/>
                <w:kern w:val="0"/>
                <w:sz w:val="20"/>
                <w:szCs w:val="20"/>
                <w:highlight w:val="none"/>
                <w:lang w:bidi="ar"/>
              </w:rPr>
              <w:t>亿元</w:t>
            </w:r>
            <w:r>
              <w:rPr>
                <w:rFonts w:ascii="Times New Roman" w:hAnsi="Times New Roman" w:eastAsia="宋体" w:cs="Times New Roman"/>
                <w:color w:val="auto"/>
                <w:kern w:val="0"/>
                <w:sz w:val="20"/>
                <w:szCs w:val="20"/>
                <w:highlight w:val="none"/>
                <w:lang w:bidi="ar"/>
              </w:rPr>
              <w:t>/</w:t>
            </w:r>
            <w:r>
              <w:rPr>
                <w:rFonts w:hint="default" w:ascii="Times New Roman" w:hAnsi="Times New Roman" w:eastAsia="宋体" w:cs="Times New Roman"/>
                <w:color w:val="auto"/>
                <w:kern w:val="0"/>
                <w:sz w:val="20"/>
                <w:szCs w:val="20"/>
                <w:highlight w:val="none"/>
                <w:lang w:bidi="ar"/>
              </w:rPr>
              <w:t>年</w:t>
            </w: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616E">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C05F">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restart"/>
            <w:tcBorders>
              <w:top w:val="single" w:color="000000" w:sz="4" w:space="0"/>
              <w:left w:val="single" w:color="000000" w:sz="4" w:space="0"/>
              <w:bottom w:val="single" w:color="000000" w:sz="4" w:space="0"/>
            </w:tcBorders>
            <w:shd w:val="clear" w:color="auto" w:fill="auto"/>
            <w:vAlign w:val="center"/>
          </w:tcPr>
          <w:p w14:paraId="7F5631DB">
            <w:pPr>
              <w:keepNext w:val="0"/>
              <w:widowControl w:val="0"/>
              <w:jc w:val="both"/>
              <w:textAlignment w:val="center"/>
              <w:rPr>
                <w:rFonts w:hint="eastAsia"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甲方与分包公司联合投保，受益人为分包公司，保费由甲方代为支付。</w:t>
            </w:r>
            <w:r>
              <w:rPr>
                <w:rFonts w:hint="eastAsia" w:ascii="Times New Roman" w:hAnsi="Times New Roman" w:eastAsia="宋体" w:cs="Times New Roman"/>
                <w:color w:val="auto"/>
                <w:kern w:val="0"/>
                <w:sz w:val="20"/>
                <w:szCs w:val="20"/>
                <w:highlight w:val="none"/>
                <w:lang w:eastAsia="zh-CN" w:bidi="ar"/>
              </w:rPr>
              <w:t>（费率中含附加突发疾病死亡保险）；（保留两位小数）。</w:t>
            </w:r>
          </w:p>
        </w:tc>
      </w:tr>
      <w:tr w14:paraId="768D52E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continue"/>
            <w:tcBorders>
              <w:top w:val="single" w:color="000000" w:sz="4" w:space="0"/>
              <w:bottom w:val="single" w:color="000000" w:sz="4" w:space="0"/>
              <w:right w:val="single" w:color="000000" w:sz="4" w:space="0"/>
            </w:tcBorders>
            <w:shd w:val="clear" w:color="auto" w:fill="auto"/>
            <w:vAlign w:val="center"/>
          </w:tcPr>
          <w:p w14:paraId="739FD568">
            <w:pPr>
              <w:keepNext w:val="0"/>
              <w:jc w:val="center"/>
              <w:rPr>
                <w:rFonts w:ascii="Times New Roman" w:hAnsi="Times New Roman" w:eastAsia="宋体" w:cs="Times New Roman"/>
                <w:color w:val="auto"/>
                <w:sz w:val="20"/>
                <w:szCs w:val="20"/>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F0563">
            <w:pPr>
              <w:keepNext w:val="0"/>
              <w:jc w:val="center"/>
              <w:rPr>
                <w:rFonts w:ascii="Times New Roman" w:hAnsi="Times New Roman" w:eastAsia="宋体" w:cs="Times New Roman"/>
                <w:color w:val="auto"/>
                <w:sz w:val="20"/>
                <w:szCs w:val="20"/>
                <w:highlight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4971">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818D6">
            <w:pPr>
              <w:keepNext w:val="0"/>
              <w:jc w:val="center"/>
              <w:rPr>
                <w:rFonts w:ascii="Times New Roman" w:hAnsi="Times New Roman" w:eastAsia="宋体" w:cs="Times New Roman"/>
                <w:color w:val="auto"/>
                <w:sz w:val="20"/>
                <w:szCs w:val="20"/>
                <w:highlight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ED9E">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9B8F">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continue"/>
            <w:tcBorders>
              <w:top w:val="single" w:color="000000" w:sz="4" w:space="0"/>
              <w:left w:val="single" w:color="000000" w:sz="4" w:space="0"/>
              <w:bottom w:val="single" w:color="000000" w:sz="4" w:space="0"/>
            </w:tcBorders>
            <w:shd w:val="clear" w:color="auto" w:fill="auto"/>
            <w:vAlign w:val="center"/>
          </w:tcPr>
          <w:p w14:paraId="402A42FB">
            <w:pPr>
              <w:keepNext w:val="0"/>
              <w:jc w:val="center"/>
              <w:rPr>
                <w:rFonts w:ascii="Times New Roman" w:hAnsi="Times New Roman" w:eastAsia="宋体" w:cs="Times New Roman"/>
                <w:color w:val="auto"/>
                <w:sz w:val="20"/>
                <w:szCs w:val="20"/>
                <w:highlight w:val="none"/>
              </w:rPr>
            </w:pPr>
          </w:p>
        </w:tc>
      </w:tr>
      <w:tr w14:paraId="3734904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continue"/>
            <w:tcBorders>
              <w:top w:val="single" w:color="000000" w:sz="4" w:space="0"/>
              <w:bottom w:val="single" w:color="000000" w:sz="4" w:space="0"/>
              <w:right w:val="single" w:color="000000" w:sz="4" w:space="0"/>
            </w:tcBorders>
            <w:shd w:val="clear" w:color="auto" w:fill="auto"/>
            <w:vAlign w:val="center"/>
          </w:tcPr>
          <w:p w14:paraId="63796D27">
            <w:pPr>
              <w:keepNext w:val="0"/>
              <w:jc w:val="center"/>
              <w:rPr>
                <w:rFonts w:ascii="Times New Roman" w:hAnsi="Times New Roman" w:eastAsia="宋体" w:cs="Times New Roman"/>
                <w:color w:val="auto"/>
                <w:sz w:val="20"/>
                <w:szCs w:val="20"/>
                <w:highlight w:val="none"/>
              </w:rPr>
            </w:pP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63F8A">
            <w:pPr>
              <w:keepNext w:val="0"/>
              <w:widowControl w:val="0"/>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对下劳务合作</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800E">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39A20">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lang w:val="en-US" w:eastAsia="zh-CN" w:bidi="ar"/>
              </w:rPr>
              <w:t>30</w:t>
            </w:r>
            <w:r>
              <w:rPr>
                <w:rFonts w:hint="default" w:ascii="Times New Roman" w:hAnsi="Times New Roman" w:eastAsia="宋体" w:cs="Times New Roman"/>
                <w:color w:val="auto"/>
                <w:kern w:val="0"/>
                <w:sz w:val="20"/>
                <w:szCs w:val="20"/>
                <w:highlight w:val="none"/>
                <w:lang w:bidi="ar"/>
              </w:rPr>
              <w:t>亿元</w:t>
            </w:r>
            <w:r>
              <w:rPr>
                <w:rFonts w:ascii="Times New Roman" w:hAnsi="Times New Roman" w:eastAsia="宋体" w:cs="Times New Roman"/>
                <w:color w:val="auto"/>
                <w:kern w:val="0"/>
                <w:sz w:val="20"/>
                <w:szCs w:val="20"/>
                <w:highlight w:val="none"/>
                <w:lang w:bidi="ar"/>
              </w:rPr>
              <w:t>/</w:t>
            </w:r>
            <w:r>
              <w:rPr>
                <w:rFonts w:hint="default" w:ascii="Times New Roman" w:hAnsi="Times New Roman" w:eastAsia="宋体" w:cs="Times New Roman"/>
                <w:color w:val="auto"/>
                <w:kern w:val="0"/>
                <w:sz w:val="20"/>
                <w:szCs w:val="20"/>
                <w:highlight w:val="none"/>
                <w:lang w:bidi="ar"/>
              </w:rPr>
              <w:t>年</w:t>
            </w: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48B2">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B889">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continue"/>
            <w:tcBorders>
              <w:top w:val="single" w:color="000000" w:sz="4" w:space="0"/>
              <w:left w:val="single" w:color="000000" w:sz="4" w:space="0"/>
              <w:bottom w:val="single" w:color="000000" w:sz="4" w:space="0"/>
            </w:tcBorders>
            <w:shd w:val="clear" w:color="auto" w:fill="auto"/>
            <w:vAlign w:val="center"/>
          </w:tcPr>
          <w:p w14:paraId="61E0CAEB">
            <w:pPr>
              <w:keepNext w:val="0"/>
              <w:jc w:val="center"/>
              <w:rPr>
                <w:rFonts w:ascii="Times New Roman" w:hAnsi="Times New Roman" w:eastAsia="宋体" w:cs="Times New Roman"/>
                <w:color w:val="auto"/>
                <w:sz w:val="20"/>
                <w:szCs w:val="20"/>
                <w:highlight w:val="none"/>
              </w:rPr>
            </w:pPr>
          </w:p>
        </w:tc>
      </w:tr>
      <w:tr w14:paraId="0241550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continue"/>
            <w:tcBorders>
              <w:top w:val="single" w:color="000000" w:sz="4" w:space="0"/>
              <w:bottom w:val="single" w:color="000000" w:sz="4" w:space="0"/>
              <w:right w:val="single" w:color="000000" w:sz="4" w:space="0"/>
            </w:tcBorders>
            <w:shd w:val="clear" w:color="auto" w:fill="auto"/>
            <w:vAlign w:val="center"/>
          </w:tcPr>
          <w:p w14:paraId="0ABD0AD7">
            <w:pPr>
              <w:keepNext w:val="0"/>
              <w:jc w:val="center"/>
              <w:rPr>
                <w:rFonts w:ascii="Times New Roman" w:hAnsi="Times New Roman" w:eastAsia="宋体" w:cs="Times New Roman"/>
                <w:color w:val="auto"/>
                <w:sz w:val="20"/>
                <w:szCs w:val="20"/>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39A70">
            <w:pPr>
              <w:keepNext w:val="0"/>
              <w:jc w:val="center"/>
              <w:rPr>
                <w:rFonts w:ascii="Times New Roman" w:hAnsi="Times New Roman" w:eastAsia="宋体" w:cs="Times New Roman"/>
                <w:color w:val="auto"/>
                <w:sz w:val="20"/>
                <w:szCs w:val="20"/>
                <w:highlight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CFE8">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5FF9F">
            <w:pPr>
              <w:keepNext w:val="0"/>
              <w:jc w:val="center"/>
              <w:rPr>
                <w:rFonts w:ascii="Times New Roman" w:hAnsi="Times New Roman" w:eastAsia="宋体" w:cs="Times New Roman"/>
                <w:color w:val="auto"/>
                <w:sz w:val="20"/>
                <w:szCs w:val="20"/>
                <w:highlight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71BD">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32E5">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continue"/>
            <w:tcBorders>
              <w:top w:val="single" w:color="000000" w:sz="4" w:space="0"/>
              <w:left w:val="single" w:color="000000" w:sz="4" w:space="0"/>
              <w:bottom w:val="single" w:color="000000" w:sz="4" w:space="0"/>
            </w:tcBorders>
            <w:shd w:val="clear" w:color="auto" w:fill="auto"/>
            <w:vAlign w:val="center"/>
          </w:tcPr>
          <w:p w14:paraId="27361324">
            <w:pPr>
              <w:keepNext w:val="0"/>
              <w:jc w:val="center"/>
              <w:rPr>
                <w:rFonts w:ascii="Times New Roman" w:hAnsi="Times New Roman" w:eastAsia="宋体" w:cs="Times New Roman"/>
                <w:color w:val="auto"/>
                <w:sz w:val="20"/>
                <w:szCs w:val="20"/>
                <w:highlight w:val="none"/>
              </w:rPr>
            </w:pPr>
          </w:p>
        </w:tc>
      </w:tr>
      <w:tr w14:paraId="284B807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4093" w:type="pct"/>
            <w:gridSpan w:val="6"/>
            <w:tcBorders>
              <w:top w:val="single" w:color="000000" w:sz="4" w:space="0"/>
              <w:bottom w:val="single" w:color="000000" w:sz="4" w:space="0"/>
              <w:right w:val="single" w:color="000000" w:sz="4" w:space="0"/>
            </w:tcBorders>
            <w:shd w:val="clear" w:color="auto" w:fill="auto"/>
            <w:vAlign w:val="center"/>
          </w:tcPr>
          <w:p w14:paraId="2D3EEF89">
            <w:pPr>
              <w:keepNext w:val="0"/>
              <w:jc w:val="center"/>
              <w:textAlignment w:val="center"/>
              <w:rPr>
                <w:rFonts w:ascii="Times New Roman" w:hAnsi="Times New Roman" w:eastAsia="宋体" w:cs="Times New Roman"/>
                <w:b/>
                <w:bCs/>
                <w:color w:val="auto"/>
                <w:kern w:val="0"/>
                <w:sz w:val="20"/>
                <w:szCs w:val="20"/>
                <w:highlight w:val="none"/>
                <w:lang w:bidi="ar"/>
              </w:rPr>
            </w:pPr>
            <w:r>
              <w:rPr>
                <w:rFonts w:hint="eastAsia" w:ascii="Times New Roman" w:hAnsi="Times New Roman" w:cs="Times New Roman"/>
                <w:b/>
                <w:bCs/>
                <w:color w:val="auto"/>
                <w:kern w:val="0"/>
                <w:sz w:val="20"/>
                <w:szCs w:val="20"/>
                <w:highlight w:val="none"/>
                <w:lang w:eastAsia="zh-CN" w:bidi="ar"/>
              </w:rPr>
              <w:t>响应人</w:t>
            </w:r>
            <w:r>
              <w:rPr>
                <w:rFonts w:hint="default" w:ascii="Times New Roman" w:hAnsi="Times New Roman" w:cs="Times New Roman"/>
                <w:b/>
                <w:bCs/>
                <w:color w:val="auto"/>
                <w:kern w:val="0"/>
                <w:sz w:val="20"/>
                <w:szCs w:val="20"/>
                <w:highlight w:val="none"/>
                <w:lang w:bidi="ar"/>
              </w:rPr>
              <w:t>报价控制价</w:t>
            </w:r>
            <w:r>
              <w:rPr>
                <w:rFonts w:ascii="Times New Roman" w:hAnsi="Times New Roman" w:cs="Times New Roman"/>
                <w:b/>
                <w:bCs/>
                <w:color w:val="auto"/>
                <w:kern w:val="0"/>
                <w:sz w:val="20"/>
                <w:szCs w:val="20"/>
                <w:highlight w:val="none"/>
                <w:lang w:bidi="ar"/>
              </w:rPr>
              <w:t>总体平均</w:t>
            </w:r>
            <w:r>
              <w:rPr>
                <w:rFonts w:hint="default" w:ascii="Times New Roman" w:hAnsi="Times New Roman" w:cs="Times New Roman"/>
                <w:b/>
                <w:bCs/>
                <w:color w:val="auto"/>
                <w:kern w:val="0"/>
                <w:sz w:val="20"/>
                <w:szCs w:val="20"/>
                <w:highlight w:val="none"/>
                <w:lang w:bidi="ar"/>
              </w:rPr>
              <w:t>下浮比例</w:t>
            </w:r>
            <w:r>
              <w:rPr>
                <w:rFonts w:hint="default" w:ascii="Times New Roman" w:hAnsi="Times New Roman" w:cs="Times New Roman"/>
                <w:b/>
                <w:bCs/>
                <w:color w:val="auto"/>
                <w:kern w:val="0"/>
                <w:sz w:val="20"/>
                <w:szCs w:val="20"/>
                <w:highlight w:val="none"/>
                <w:u w:val="single"/>
                <w:lang w:bidi="ar"/>
              </w:rPr>
              <w:t xml:space="preserve">         </w:t>
            </w:r>
            <w:r>
              <w:rPr>
                <w:rFonts w:hint="default" w:ascii="Times New Roman" w:hAnsi="Times New Roman" w:cs="Times New Roman"/>
                <w:b/>
                <w:bCs/>
                <w:color w:val="auto"/>
                <w:kern w:val="0"/>
                <w:sz w:val="20"/>
                <w:szCs w:val="20"/>
                <w:highlight w:val="none"/>
                <w:lang w:bidi="ar"/>
              </w:rPr>
              <w:t>%（填写百分比，保留 2 位小数）</w:t>
            </w:r>
          </w:p>
        </w:tc>
        <w:tc>
          <w:tcPr>
            <w:tcW w:w="906" w:type="pct"/>
            <w:tcBorders>
              <w:top w:val="single" w:color="000000" w:sz="4" w:space="0"/>
              <w:left w:val="single" w:color="000000" w:sz="4" w:space="0"/>
              <w:bottom w:val="single" w:color="000000" w:sz="4" w:space="0"/>
            </w:tcBorders>
            <w:shd w:val="clear" w:color="auto" w:fill="auto"/>
            <w:vAlign w:val="center"/>
          </w:tcPr>
          <w:p w14:paraId="07BFD703">
            <w:pPr>
              <w:keepNext w:val="0"/>
              <w:jc w:val="center"/>
              <w:rPr>
                <w:rFonts w:ascii="Times New Roman" w:hAnsi="Times New Roman" w:eastAsia="宋体" w:cs="Times New Roman"/>
                <w:color w:val="auto"/>
                <w:sz w:val="20"/>
                <w:szCs w:val="20"/>
                <w:highlight w:val="none"/>
              </w:rPr>
            </w:pPr>
            <w:r>
              <w:rPr>
                <w:rFonts w:hint="eastAsia" w:ascii="Times New Roman" w:hAnsi="Times New Roman" w:cs="Times New Roman"/>
                <w:b/>
                <w:bCs/>
                <w:color w:val="auto"/>
                <w:kern w:val="0"/>
                <w:sz w:val="20"/>
                <w:szCs w:val="20"/>
                <w:highlight w:val="none"/>
                <w:lang w:eastAsia="zh-CN" w:bidi="ar"/>
              </w:rPr>
              <w:t>响应人</w:t>
            </w:r>
            <w:r>
              <w:rPr>
                <w:rFonts w:ascii="Times New Roman" w:hAnsi="Times New Roman" w:cs="Times New Roman"/>
                <w:b/>
                <w:bCs/>
                <w:color w:val="auto"/>
                <w:kern w:val="0"/>
                <w:sz w:val="20"/>
                <w:szCs w:val="20"/>
                <w:highlight w:val="none"/>
                <w:lang w:bidi="ar"/>
              </w:rPr>
              <w:t>需填写</w:t>
            </w:r>
          </w:p>
        </w:tc>
      </w:tr>
      <w:tr w14:paraId="1232463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4093" w:type="pct"/>
            <w:gridSpan w:val="6"/>
            <w:tcBorders>
              <w:top w:val="single" w:color="000000" w:sz="4" w:space="0"/>
              <w:right w:val="single" w:color="000000" w:sz="4" w:space="0"/>
            </w:tcBorders>
            <w:shd w:val="clear" w:color="auto" w:fill="auto"/>
            <w:vAlign w:val="center"/>
          </w:tcPr>
          <w:p w14:paraId="6B09CC32">
            <w:pPr>
              <w:keepNext w:val="0"/>
              <w:jc w:val="center"/>
              <w:textAlignment w:val="center"/>
              <w:rPr>
                <w:rFonts w:ascii="Times New Roman" w:hAnsi="Times New Roman" w:eastAsia="宋体" w:cs="Times New Roman"/>
                <w:b/>
                <w:bCs/>
                <w:color w:val="auto"/>
                <w:kern w:val="0"/>
                <w:sz w:val="20"/>
                <w:szCs w:val="20"/>
                <w:highlight w:val="none"/>
                <w:lang w:bidi="ar"/>
              </w:rPr>
            </w:pPr>
            <w:r>
              <w:rPr>
                <w:rFonts w:hint="eastAsia" w:ascii="Times New Roman" w:hAnsi="Times New Roman" w:cs="Times New Roman"/>
                <w:b/>
                <w:bCs/>
                <w:color w:val="auto"/>
                <w:kern w:val="0"/>
                <w:sz w:val="20"/>
                <w:szCs w:val="20"/>
                <w:highlight w:val="none"/>
                <w:lang w:eastAsia="zh-CN" w:bidi="ar"/>
              </w:rPr>
              <w:t>响应人</w:t>
            </w:r>
            <w:r>
              <w:rPr>
                <w:rFonts w:hint="default" w:ascii="Times New Roman" w:hAnsi="Times New Roman" w:cs="Times New Roman"/>
                <w:b/>
                <w:bCs/>
                <w:color w:val="auto"/>
                <w:kern w:val="0"/>
                <w:sz w:val="20"/>
                <w:szCs w:val="20"/>
                <w:highlight w:val="none"/>
                <w:lang w:bidi="ar"/>
              </w:rPr>
              <w:t>报价控制价</w:t>
            </w:r>
            <w:r>
              <w:rPr>
                <w:rFonts w:ascii="Times New Roman" w:hAnsi="Times New Roman" w:cs="Times New Roman"/>
                <w:b/>
                <w:bCs/>
                <w:color w:val="auto"/>
                <w:kern w:val="0"/>
                <w:sz w:val="20"/>
                <w:szCs w:val="20"/>
                <w:highlight w:val="none"/>
                <w:lang w:bidi="ar"/>
              </w:rPr>
              <w:t>总体平均</w:t>
            </w:r>
            <w:r>
              <w:rPr>
                <w:rFonts w:hint="default" w:ascii="Times New Roman" w:hAnsi="Times New Roman" w:cs="Times New Roman"/>
                <w:b/>
                <w:bCs/>
                <w:color w:val="auto"/>
                <w:kern w:val="0"/>
                <w:sz w:val="20"/>
                <w:szCs w:val="20"/>
                <w:highlight w:val="none"/>
                <w:lang w:bidi="ar"/>
              </w:rPr>
              <w:t>下浮比例</w:t>
            </w:r>
            <w:r>
              <w:rPr>
                <w:rFonts w:hint="default" w:ascii="Times New Roman" w:hAnsi="Times New Roman" w:cs="Times New Roman"/>
                <w:b/>
                <w:bCs/>
                <w:color w:val="auto"/>
                <w:kern w:val="0"/>
                <w:sz w:val="20"/>
                <w:szCs w:val="20"/>
                <w:highlight w:val="none"/>
                <w:u w:val="single"/>
                <w:lang w:bidi="ar"/>
              </w:rPr>
              <w:t xml:space="preserve">    </w:t>
            </w:r>
            <w:r>
              <w:rPr>
                <w:rFonts w:hint="eastAsia" w:ascii="Times New Roman" w:hAnsi="Times New Roman" w:cs="Times New Roman"/>
                <w:b/>
                <w:bCs/>
                <w:color w:val="auto"/>
                <w:kern w:val="0"/>
                <w:sz w:val="20"/>
                <w:szCs w:val="20"/>
                <w:highlight w:val="none"/>
                <w:u w:val="single"/>
                <w:lang w:val="en-US" w:eastAsia="zh-CN" w:bidi="ar"/>
              </w:rPr>
              <w:t xml:space="preserve">           </w:t>
            </w:r>
            <w:r>
              <w:rPr>
                <w:rFonts w:hint="default" w:ascii="Times New Roman" w:hAnsi="Times New Roman" w:cs="Times New Roman"/>
                <w:b/>
                <w:bCs/>
                <w:color w:val="auto"/>
                <w:kern w:val="0"/>
                <w:sz w:val="20"/>
                <w:szCs w:val="20"/>
                <w:highlight w:val="none"/>
                <w:u w:val="single"/>
                <w:lang w:bidi="ar"/>
              </w:rPr>
              <w:t xml:space="preserve">  </w:t>
            </w:r>
            <w:r>
              <w:rPr>
                <w:rFonts w:hint="default" w:ascii="Times New Roman" w:hAnsi="Times New Roman" w:cs="Times New Roman"/>
                <w:b/>
                <w:bCs/>
                <w:color w:val="auto"/>
                <w:kern w:val="0"/>
                <w:sz w:val="20"/>
                <w:szCs w:val="20"/>
                <w:highlight w:val="none"/>
                <w:lang w:bidi="ar"/>
              </w:rPr>
              <w:t>（大写，保留 2 位小数）</w:t>
            </w:r>
          </w:p>
        </w:tc>
        <w:tc>
          <w:tcPr>
            <w:tcW w:w="906" w:type="pct"/>
            <w:tcBorders>
              <w:top w:val="single" w:color="000000" w:sz="4" w:space="0"/>
              <w:left w:val="single" w:color="000000" w:sz="4" w:space="0"/>
            </w:tcBorders>
            <w:shd w:val="clear" w:color="auto" w:fill="auto"/>
            <w:vAlign w:val="center"/>
          </w:tcPr>
          <w:p w14:paraId="5BE3CCA2">
            <w:pPr>
              <w:keepNext w:val="0"/>
              <w:jc w:val="center"/>
              <w:rPr>
                <w:rFonts w:ascii="Times New Roman" w:hAnsi="Times New Roman" w:eastAsia="宋体" w:cs="Times New Roman"/>
                <w:color w:val="auto"/>
                <w:sz w:val="20"/>
                <w:szCs w:val="20"/>
                <w:highlight w:val="none"/>
              </w:rPr>
            </w:pPr>
            <w:r>
              <w:rPr>
                <w:rFonts w:hint="eastAsia" w:ascii="Times New Roman" w:hAnsi="Times New Roman" w:cs="Times New Roman"/>
                <w:b/>
                <w:bCs/>
                <w:color w:val="auto"/>
                <w:kern w:val="0"/>
                <w:sz w:val="20"/>
                <w:szCs w:val="20"/>
                <w:highlight w:val="none"/>
                <w:lang w:eastAsia="zh-CN" w:bidi="ar"/>
              </w:rPr>
              <w:t>响应人</w:t>
            </w:r>
            <w:r>
              <w:rPr>
                <w:rFonts w:ascii="Times New Roman" w:hAnsi="Times New Roman" w:cs="Times New Roman"/>
                <w:b/>
                <w:bCs/>
                <w:color w:val="auto"/>
                <w:kern w:val="0"/>
                <w:sz w:val="20"/>
                <w:szCs w:val="20"/>
                <w:highlight w:val="none"/>
                <w:lang w:bidi="ar"/>
              </w:rPr>
              <w:t>需填写</w:t>
            </w:r>
          </w:p>
        </w:tc>
      </w:tr>
    </w:tbl>
    <w:p w14:paraId="4BCB941D">
      <w:pPr>
        <w:keepNext w:val="0"/>
        <w:jc w:val="left"/>
        <w:rPr>
          <w:rFonts w:ascii="Times New Roman" w:hAnsi="Times New Roman" w:eastAsia="宋体" w:cs="Times New Roman"/>
          <w:b/>
          <w:bCs/>
          <w:color w:val="auto"/>
          <w:kern w:val="0"/>
          <w:sz w:val="20"/>
          <w:szCs w:val="20"/>
          <w:highlight w:val="none"/>
          <w:lang w:bidi="ar"/>
        </w:rPr>
      </w:pPr>
    </w:p>
    <w:p w14:paraId="16391336">
      <w:pPr>
        <w:keepNext w:val="0"/>
        <w:spacing w:line="460" w:lineRule="exact"/>
        <w:ind w:firstLine="1960" w:firstLineChars="700"/>
        <w:jc w:val="left"/>
        <w:rPr>
          <w:rFonts w:ascii="Times New Roman" w:hAnsi="Times New Roman" w:cs="Times New Roman"/>
          <w:color w:val="auto"/>
          <w:sz w:val="28"/>
          <w:szCs w:val="28"/>
          <w:highlight w:val="none"/>
        </w:rPr>
      </w:pPr>
      <w:r>
        <w:rPr>
          <w:rFonts w:ascii="Times New Roman" w:hAnsi="Times New Roman" w:eastAsia="宋体" w:cs="Times New Roman"/>
          <w:color w:val="auto"/>
          <w:kern w:val="0"/>
          <w:sz w:val="28"/>
          <w:szCs w:val="28"/>
          <w:highlight w:val="none"/>
          <w:lang w:bidi="ar"/>
        </w:rPr>
        <w:t>服务商：</w:t>
      </w:r>
      <w:r>
        <w:rPr>
          <w:rFonts w:ascii="Times New Roman" w:hAnsi="Times New Roman" w:eastAsia="宋体" w:cs="Times New Roman"/>
          <w:color w:val="auto"/>
          <w:kern w:val="0"/>
          <w:sz w:val="28"/>
          <w:szCs w:val="28"/>
          <w:highlight w:val="none"/>
          <w:u w:val="single"/>
          <w:lang w:bidi="ar"/>
        </w:rPr>
        <w:t xml:space="preserve">           </w:t>
      </w:r>
      <w:r>
        <w:rPr>
          <w:rFonts w:hint="eastAsia" w:ascii="Times New Roman" w:hAnsi="Times New Roman" w:eastAsia="宋体" w:cs="Times New Roman"/>
          <w:color w:val="auto"/>
          <w:kern w:val="0"/>
          <w:sz w:val="28"/>
          <w:szCs w:val="28"/>
          <w:highlight w:val="none"/>
          <w:u w:val="single"/>
          <w:lang w:val="en-US" w:eastAsia="zh-CN" w:bidi="ar"/>
        </w:rPr>
        <w:t xml:space="preserve">  </w:t>
      </w:r>
      <w:r>
        <w:rPr>
          <w:rFonts w:ascii="Times New Roman" w:hAnsi="Times New Roman" w:eastAsia="宋体" w:cs="Times New Roman"/>
          <w:color w:val="auto"/>
          <w:kern w:val="0"/>
          <w:sz w:val="28"/>
          <w:szCs w:val="28"/>
          <w:highlight w:val="none"/>
          <w:u w:val="single"/>
          <w:lang w:bidi="ar"/>
        </w:rPr>
        <w:t xml:space="preserve">       </w:t>
      </w:r>
      <w:r>
        <w:rPr>
          <w:rFonts w:hint="eastAsia" w:ascii="Times New Roman" w:hAnsi="Times New Roman" w:eastAsia="宋体" w:cs="Times New Roman"/>
          <w:color w:val="auto"/>
          <w:kern w:val="0"/>
          <w:sz w:val="28"/>
          <w:szCs w:val="28"/>
          <w:highlight w:val="none"/>
          <w:u w:val="single"/>
          <w:lang w:val="en-US" w:eastAsia="zh-CN" w:bidi="ar"/>
        </w:rPr>
        <w:t xml:space="preserve">  </w:t>
      </w:r>
      <w:r>
        <w:rPr>
          <w:rFonts w:ascii="Times New Roman" w:hAnsi="Times New Roman" w:eastAsia="宋体" w:cs="Times New Roman"/>
          <w:color w:val="auto"/>
          <w:kern w:val="0"/>
          <w:sz w:val="28"/>
          <w:szCs w:val="28"/>
          <w:highlight w:val="none"/>
          <w:u w:val="single"/>
          <w:lang w:bidi="ar"/>
        </w:rPr>
        <w:t xml:space="preserve">  </w:t>
      </w:r>
      <w:r>
        <w:rPr>
          <w:rFonts w:hint="eastAsia" w:ascii="Times New Roman" w:hAnsi="Times New Roman" w:eastAsia="宋体" w:cs="Times New Roman"/>
          <w:color w:val="auto"/>
          <w:kern w:val="0"/>
          <w:sz w:val="28"/>
          <w:szCs w:val="28"/>
          <w:highlight w:val="none"/>
          <w:u w:val="single"/>
          <w:lang w:val="en-US" w:eastAsia="zh-CN" w:bidi="ar"/>
        </w:rPr>
        <w:t xml:space="preserve">   </w:t>
      </w:r>
      <w:r>
        <w:rPr>
          <w:rFonts w:ascii="Times New Roman" w:hAnsi="Times New Roman" w:eastAsia="宋体" w:cs="Times New Roman"/>
          <w:color w:val="auto"/>
          <w:kern w:val="0"/>
          <w:sz w:val="28"/>
          <w:szCs w:val="28"/>
          <w:highlight w:val="none"/>
          <w:u w:val="single"/>
          <w:lang w:bidi="ar"/>
        </w:rPr>
        <w:t xml:space="preserve">  </w:t>
      </w:r>
      <w:r>
        <w:rPr>
          <w:rFonts w:ascii="Times New Roman" w:hAnsi="Times New Roman" w:eastAsia="宋体" w:cs="Times New Roman"/>
          <w:color w:val="auto"/>
          <w:kern w:val="0"/>
          <w:sz w:val="28"/>
          <w:szCs w:val="28"/>
          <w:highlight w:val="none"/>
          <w:lang w:bidi="ar"/>
        </w:rPr>
        <w:t>（加盖公章）</w:t>
      </w:r>
    </w:p>
    <w:p w14:paraId="1B3160CB">
      <w:pPr>
        <w:keepNext w:val="0"/>
        <w:spacing w:line="460" w:lineRule="exact"/>
        <w:ind w:firstLine="1960" w:firstLineChars="700"/>
        <w:jc w:val="left"/>
        <w:rPr>
          <w:rFonts w:ascii="Times New Roman" w:hAnsi="Times New Roman" w:cs="Times New Roman"/>
          <w:color w:val="auto"/>
          <w:sz w:val="28"/>
          <w:szCs w:val="28"/>
          <w:highlight w:val="none"/>
        </w:rPr>
      </w:pPr>
      <w:r>
        <w:rPr>
          <w:rFonts w:ascii="Times New Roman" w:hAnsi="Times New Roman" w:eastAsia="宋体" w:cs="Times New Roman"/>
          <w:color w:val="auto"/>
          <w:kern w:val="0"/>
          <w:sz w:val="28"/>
          <w:szCs w:val="28"/>
          <w:highlight w:val="none"/>
          <w:lang w:bidi="ar"/>
        </w:rPr>
        <w:t>法定代表人或其授权代理人：</w:t>
      </w:r>
      <w:r>
        <w:rPr>
          <w:rFonts w:ascii="Times New Roman" w:hAnsi="Times New Roman" w:eastAsia="宋体" w:cs="Times New Roman"/>
          <w:color w:val="auto"/>
          <w:kern w:val="0"/>
          <w:sz w:val="28"/>
          <w:szCs w:val="28"/>
          <w:highlight w:val="none"/>
          <w:u w:val="single"/>
          <w:lang w:bidi="ar"/>
        </w:rPr>
        <w:t xml:space="preserve">                 </w:t>
      </w:r>
      <w:r>
        <w:rPr>
          <w:rFonts w:ascii="Times New Roman" w:hAnsi="Times New Roman" w:eastAsia="宋体" w:cs="Times New Roman"/>
          <w:color w:val="auto"/>
          <w:kern w:val="0"/>
          <w:sz w:val="28"/>
          <w:szCs w:val="28"/>
          <w:highlight w:val="none"/>
          <w:lang w:bidi="ar"/>
        </w:rPr>
        <w:t>（签字）</w:t>
      </w:r>
    </w:p>
    <w:p w14:paraId="123ACA8D">
      <w:pPr>
        <w:keepNext w:val="0"/>
        <w:spacing w:line="460" w:lineRule="exact"/>
        <w:ind w:firstLine="1960" w:firstLineChars="700"/>
        <w:jc w:val="left"/>
        <w:rPr>
          <w:rFonts w:ascii="Times New Roman" w:hAnsi="Times New Roman" w:eastAsia="宋体" w:cs="Times New Roman"/>
          <w:b/>
          <w:bCs/>
          <w:color w:val="auto"/>
          <w:kern w:val="0"/>
          <w:sz w:val="28"/>
          <w:szCs w:val="28"/>
          <w:highlight w:val="none"/>
          <w:u w:val="single"/>
          <w:lang w:bidi="ar"/>
        </w:rPr>
      </w:pPr>
      <w:r>
        <w:rPr>
          <w:rFonts w:ascii="Times New Roman" w:hAnsi="Times New Roman" w:eastAsia="宋体" w:cs="Times New Roman"/>
          <w:color w:val="auto"/>
          <w:kern w:val="0"/>
          <w:sz w:val="28"/>
          <w:szCs w:val="28"/>
          <w:highlight w:val="none"/>
          <w:lang w:bidi="ar"/>
        </w:rPr>
        <w:t>日期：</w:t>
      </w:r>
      <w:r>
        <w:rPr>
          <w:rFonts w:ascii="Times New Roman" w:hAnsi="Times New Roman" w:eastAsia="宋体" w:cs="Times New Roman"/>
          <w:color w:val="auto"/>
          <w:sz w:val="28"/>
          <w:szCs w:val="28"/>
          <w:highlight w:val="none"/>
          <w:u w:val="single"/>
        </w:rPr>
        <w:t xml:space="preserve">                   </w:t>
      </w:r>
      <w:r>
        <w:rPr>
          <w:rFonts w:hint="eastAsia" w:ascii="Times New Roman" w:hAnsi="Times New Roman" w:eastAsia="宋体" w:cs="Times New Roman"/>
          <w:color w:val="auto"/>
          <w:sz w:val="28"/>
          <w:szCs w:val="28"/>
          <w:highlight w:val="none"/>
          <w:u w:val="single"/>
        </w:rPr>
        <w:t xml:space="preserve">    </w:t>
      </w:r>
      <w:r>
        <w:rPr>
          <w:rFonts w:hint="eastAsia" w:ascii="Times New Roman" w:hAnsi="Times New Roman" w:eastAsia="宋体" w:cs="Times New Roman"/>
          <w:color w:val="auto"/>
          <w:sz w:val="28"/>
          <w:szCs w:val="28"/>
          <w:highlight w:val="none"/>
          <w:u w:val="single"/>
          <w:lang w:val="en-US" w:eastAsia="zh-CN"/>
        </w:rPr>
        <w:t xml:space="preserve"> </w:t>
      </w:r>
      <w:r>
        <w:rPr>
          <w:rFonts w:hint="eastAsia" w:ascii="Times New Roman" w:hAnsi="Times New Roman" w:eastAsia="宋体" w:cs="Times New Roman"/>
          <w:color w:val="auto"/>
          <w:sz w:val="28"/>
          <w:szCs w:val="28"/>
          <w:highlight w:val="none"/>
          <w:u w:val="single"/>
        </w:rPr>
        <w:t xml:space="preserve">               </w:t>
      </w:r>
      <w:r>
        <w:rPr>
          <w:rFonts w:ascii="Times New Roman" w:hAnsi="Times New Roman" w:eastAsia="宋体" w:cs="Times New Roman"/>
          <w:color w:val="auto"/>
          <w:sz w:val="28"/>
          <w:szCs w:val="28"/>
          <w:highlight w:val="none"/>
          <w:u w:val="single"/>
        </w:rPr>
        <w:t xml:space="preserve">    </w:t>
      </w:r>
    </w:p>
    <w:p w14:paraId="697C8C1A">
      <w:pPr>
        <w:rPr>
          <w:rFonts w:ascii="Times New Roman" w:hAnsi="Times New Roman" w:cs="Times New Roman"/>
          <w:color w:val="auto"/>
          <w:highlight w:val="none"/>
        </w:rPr>
      </w:pPr>
    </w:p>
    <w:p w14:paraId="71676B8D">
      <w:pPr>
        <w:topLinePunct/>
        <w:spacing w:line="440" w:lineRule="exact"/>
        <w:jc w:val="center"/>
        <w:outlineLvl w:val="0"/>
        <w:rPr>
          <w:rFonts w:ascii="Times New Roman" w:hAnsi="Times New Roman" w:eastAsia="黑体" w:cs="Times New Roman"/>
          <w:color w:val="auto"/>
          <w:sz w:val="36"/>
          <w:szCs w:val="36"/>
          <w:highlight w:val="none"/>
        </w:rPr>
      </w:pPr>
      <w:bookmarkStart w:id="232" w:name="_Toc24787"/>
      <w:r>
        <w:rPr>
          <w:rFonts w:ascii="Times New Roman" w:hAnsi="Times New Roman" w:eastAsia="黑体" w:cs="Times New Roman"/>
          <w:color w:val="auto"/>
          <w:sz w:val="36"/>
          <w:szCs w:val="36"/>
          <w:highlight w:val="none"/>
        </w:rPr>
        <w:t>四、</w:t>
      </w:r>
      <w:r>
        <w:rPr>
          <w:rFonts w:hint="eastAsia" w:ascii="Times New Roman" w:hAnsi="Times New Roman" w:eastAsia="黑体" w:cs="Times New Roman"/>
          <w:color w:val="auto"/>
          <w:sz w:val="36"/>
          <w:szCs w:val="36"/>
          <w:highlight w:val="none"/>
          <w:lang w:eastAsia="zh-CN"/>
        </w:rPr>
        <w:t>服务商</w:t>
      </w:r>
      <w:r>
        <w:rPr>
          <w:rFonts w:ascii="Times New Roman" w:hAnsi="Times New Roman" w:eastAsia="黑体" w:cs="Times New Roman"/>
          <w:color w:val="auto"/>
          <w:sz w:val="36"/>
          <w:szCs w:val="36"/>
          <w:highlight w:val="none"/>
        </w:rPr>
        <w:t>基本情况</w:t>
      </w:r>
      <w:bookmarkEnd w:id="232"/>
    </w:p>
    <w:p w14:paraId="02E7A9A3">
      <w:pPr>
        <w:topLinePunct/>
        <w:spacing w:line="440" w:lineRule="exact"/>
        <w:jc w:val="center"/>
        <w:rPr>
          <w:rFonts w:ascii="Times New Roman" w:hAnsi="Times New Roman" w:eastAsia="宋体" w:cs="Times New Roman"/>
          <w:color w:val="auto"/>
          <w:sz w:val="23"/>
          <w:szCs w:val="23"/>
          <w:highlight w:val="none"/>
        </w:rPr>
      </w:pPr>
    </w:p>
    <w:tbl>
      <w:tblPr>
        <w:tblStyle w:val="31"/>
        <w:tblW w:w="8741" w:type="dxa"/>
        <w:tblInd w:w="5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07"/>
        <w:gridCol w:w="1087"/>
        <w:gridCol w:w="2173"/>
        <w:gridCol w:w="1084"/>
        <w:gridCol w:w="2990"/>
      </w:tblGrid>
      <w:tr w14:paraId="5ECF5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407" w:type="dxa"/>
            <w:tcBorders>
              <w:top w:val="single" w:color="auto" w:sz="12" w:space="0"/>
              <w:left w:val="single" w:color="auto" w:sz="12" w:space="0"/>
              <w:bottom w:val="single" w:color="auto" w:sz="4" w:space="0"/>
              <w:right w:val="single" w:color="auto" w:sz="4" w:space="0"/>
            </w:tcBorders>
            <w:vAlign w:val="center"/>
          </w:tcPr>
          <w:p w14:paraId="083BD538">
            <w:pPr>
              <w:topLinePun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服务商</w:t>
            </w:r>
            <w:r>
              <w:rPr>
                <w:rFonts w:ascii="Times New Roman" w:hAnsi="Times New Roman" w:eastAsia="宋体" w:cs="Times New Roman"/>
                <w:color w:val="auto"/>
                <w:szCs w:val="21"/>
                <w:highlight w:val="none"/>
              </w:rPr>
              <w:t>名称</w:t>
            </w:r>
          </w:p>
        </w:tc>
        <w:tc>
          <w:tcPr>
            <w:tcW w:w="7334" w:type="dxa"/>
            <w:gridSpan w:val="4"/>
            <w:tcBorders>
              <w:top w:val="single" w:color="auto" w:sz="12" w:space="0"/>
              <w:left w:val="single" w:color="auto" w:sz="4" w:space="0"/>
              <w:bottom w:val="single" w:color="auto" w:sz="4" w:space="0"/>
              <w:right w:val="single" w:color="auto" w:sz="12" w:space="0"/>
            </w:tcBorders>
            <w:vAlign w:val="center"/>
          </w:tcPr>
          <w:p w14:paraId="07BD731D">
            <w:pPr>
              <w:topLinePunct/>
              <w:jc w:val="center"/>
              <w:rPr>
                <w:rFonts w:ascii="Times New Roman" w:hAnsi="Times New Roman" w:eastAsia="宋体" w:cs="Times New Roman"/>
                <w:color w:val="auto"/>
                <w:szCs w:val="21"/>
                <w:highlight w:val="none"/>
              </w:rPr>
            </w:pPr>
          </w:p>
        </w:tc>
      </w:tr>
      <w:tr w14:paraId="40D58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1407" w:type="dxa"/>
            <w:tcBorders>
              <w:top w:val="single" w:color="auto" w:sz="4" w:space="0"/>
              <w:left w:val="single" w:color="auto" w:sz="12" w:space="0"/>
              <w:bottom w:val="single" w:color="auto" w:sz="4" w:space="0"/>
              <w:right w:val="single" w:color="auto" w:sz="4" w:space="0"/>
            </w:tcBorders>
            <w:vAlign w:val="center"/>
          </w:tcPr>
          <w:p w14:paraId="0CCAE8D8">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0F9DE50B">
            <w:pPr>
              <w:topLinePunct/>
              <w:jc w:val="center"/>
              <w:rPr>
                <w:rFonts w:ascii="Times New Roman" w:hAnsi="Times New Roman" w:eastAsia="宋体"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3D46F799">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 话</w:t>
            </w:r>
          </w:p>
        </w:tc>
        <w:tc>
          <w:tcPr>
            <w:tcW w:w="2990" w:type="dxa"/>
            <w:tcBorders>
              <w:top w:val="single" w:color="auto" w:sz="4" w:space="0"/>
              <w:left w:val="single" w:color="auto" w:sz="4" w:space="0"/>
              <w:bottom w:val="single" w:color="auto" w:sz="4" w:space="0"/>
              <w:right w:val="single" w:color="auto" w:sz="12" w:space="0"/>
            </w:tcBorders>
            <w:vAlign w:val="center"/>
          </w:tcPr>
          <w:p w14:paraId="321C8C14">
            <w:pPr>
              <w:topLinePunct/>
              <w:jc w:val="center"/>
              <w:rPr>
                <w:rFonts w:ascii="Times New Roman" w:hAnsi="Times New Roman" w:eastAsia="宋体" w:cs="Times New Roman"/>
                <w:color w:val="auto"/>
                <w:szCs w:val="21"/>
                <w:highlight w:val="none"/>
              </w:rPr>
            </w:pPr>
          </w:p>
        </w:tc>
      </w:tr>
      <w:tr w14:paraId="2D4E1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407" w:type="dxa"/>
            <w:vMerge w:val="restart"/>
            <w:tcBorders>
              <w:top w:val="single" w:color="auto" w:sz="4" w:space="0"/>
              <w:left w:val="single" w:color="auto" w:sz="12" w:space="0"/>
              <w:bottom w:val="single" w:color="auto" w:sz="4" w:space="0"/>
              <w:right w:val="single" w:color="auto" w:sz="4" w:space="0"/>
            </w:tcBorders>
            <w:vAlign w:val="center"/>
          </w:tcPr>
          <w:p w14:paraId="77FC90FF">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609F8B0D">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351A9323">
            <w:pPr>
              <w:topLinePunct/>
              <w:jc w:val="center"/>
              <w:rPr>
                <w:rFonts w:ascii="Times New Roman" w:hAnsi="Times New Roman" w:eastAsia="宋体"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4E20AD19">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 话</w:t>
            </w:r>
          </w:p>
        </w:tc>
        <w:tc>
          <w:tcPr>
            <w:tcW w:w="2990" w:type="dxa"/>
            <w:tcBorders>
              <w:top w:val="single" w:color="auto" w:sz="4" w:space="0"/>
              <w:left w:val="single" w:color="auto" w:sz="4" w:space="0"/>
              <w:bottom w:val="single" w:color="auto" w:sz="4" w:space="0"/>
              <w:right w:val="single" w:color="auto" w:sz="12" w:space="0"/>
            </w:tcBorders>
            <w:vAlign w:val="center"/>
          </w:tcPr>
          <w:p w14:paraId="790871F9">
            <w:pPr>
              <w:topLinePunct/>
              <w:jc w:val="center"/>
              <w:rPr>
                <w:rFonts w:ascii="Times New Roman" w:hAnsi="Times New Roman" w:eastAsia="宋体" w:cs="Times New Roman"/>
                <w:color w:val="auto"/>
                <w:szCs w:val="21"/>
                <w:highlight w:val="none"/>
              </w:rPr>
            </w:pPr>
          </w:p>
        </w:tc>
      </w:tr>
      <w:tr w14:paraId="1265E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407" w:type="dxa"/>
            <w:vMerge w:val="continue"/>
            <w:tcBorders>
              <w:top w:val="single" w:color="auto" w:sz="4" w:space="0"/>
              <w:left w:val="single" w:color="auto" w:sz="12" w:space="0"/>
              <w:bottom w:val="single" w:color="auto" w:sz="4" w:space="0"/>
              <w:right w:val="single" w:color="auto" w:sz="4" w:space="0"/>
            </w:tcBorders>
            <w:vAlign w:val="center"/>
          </w:tcPr>
          <w:p w14:paraId="009C4169">
            <w:pPr>
              <w:topLinePunct/>
              <w:jc w:val="center"/>
              <w:rPr>
                <w:rFonts w:ascii="Times New Roman" w:hAnsi="Times New Roman" w:eastAsia="宋体" w:cs="Times New Roman"/>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56CA6E0E">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001EF318">
            <w:pPr>
              <w:topLinePunct/>
              <w:jc w:val="center"/>
              <w:rPr>
                <w:rFonts w:ascii="Times New Roman" w:hAnsi="Times New Roman" w:eastAsia="宋体"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584D54CD">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电子邮箱</w:t>
            </w:r>
          </w:p>
        </w:tc>
        <w:tc>
          <w:tcPr>
            <w:tcW w:w="2990" w:type="dxa"/>
            <w:tcBorders>
              <w:top w:val="single" w:color="auto" w:sz="4" w:space="0"/>
              <w:left w:val="single" w:color="auto" w:sz="4" w:space="0"/>
              <w:bottom w:val="single" w:color="auto" w:sz="4" w:space="0"/>
              <w:right w:val="single" w:color="auto" w:sz="12" w:space="0"/>
            </w:tcBorders>
            <w:vAlign w:val="center"/>
          </w:tcPr>
          <w:p w14:paraId="36A382F6">
            <w:pPr>
              <w:topLinePunct/>
              <w:jc w:val="center"/>
              <w:rPr>
                <w:rFonts w:ascii="Times New Roman" w:hAnsi="Times New Roman" w:eastAsia="宋体" w:cs="Times New Roman"/>
                <w:color w:val="auto"/>
                <w:szCs w:val="21"/>
                <w:highlight w:val="none"/>
              </w:rPr>
            </w:pPr>
          </w:p>
        </w:tc>
      </w:tr>
      <w:tr w14:paraId="47EBD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407" w:type="dxa"/>
            <w:tcBorders>
              <w:top w:val="single" w:color="auto" w:sz="4" w:space="0"/>
              <w:left w:val="single" w:color="auto" w:sz="12" w:space="0"/>
              <w:bottom w:val="single" w:color="auto" w:sz="4" w:space="0"/>
              <w:right w:val="single" w:color="auto" w:sz="4" w:space="0"/>
            </w:tcBorders>
            <w:vAlign w:val="center"/>
          </w:tcPr>
          <w:p w14:paraId="7EC0EB76">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59DBE6">
            <w:pPr>
              <w:topLinePunct/>
              <w:jc w:val="center"/>
              <w:rPr>
                <w:rFonts w:ascii="Times New Roman" w:hAnsi="Times New Roman" w:eastAsia="宋体" w:cs="Times New Roman"/>
                <w:color w:val="auto"/>
                <w:szCs w:val="21"/>
                <w:highlight w:val="none"/>
              </w:rPr>
            </w:pPr>
          </w:p>
        </w:tc>
        <w:tc>
          <w:tcPr>
            <w:tcW w:w="2173" w:type="dxa"/>
            <w:tcBorders>
              <w:top w:val="single" w:color="auto" w:sz="4" w:space="0"/>
              <w:left w:val="single" w:color="auto" w:sz="4" w:space="0"/>
              <w:bottom w:val="single" w:color="auto" w:sz="4" w:space="0"/>
              <w:right w:val="single" w:color="auto" w:sz="4" w:space="0"/>
            </w:tcBorders>
            <w:vAlign w:val="center"/>
          </w:tcPr>
          <w:p w14:paraId="62445F8C">
            <w:pPr>
              <w:topLinePunct/>
              <w:jc w:val="center"/>
              <w:rPr>
                <w:rFonts w:ascii="Times New Roman" w:hAnsi="Times New Roman" w:eastAsia="宋体"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0A188515">
            <w:pPr>
              <w:topLinePunct/>
              <w:jc w:val="center"/>
              <w:rPr>
                <w:rFonts w:ascii="Times New Roman" w:hAnsi="Times New Roman" w:eastAsia="宋体" w:cs="Times New Roman"/>
                <w:color w:val="auto"/>
                <w:szCs w:val="21"/>
                <w:highlight w:val="none"/>
              </w:rPr>
            </w:pPr>
          </w:p>
        </w:tc>
        <w:tc>
          <w:tcPr>
            <w:tcW w:w="2990" w:type="dxa"/>
            <w:tcBorders>
              <w:top w:val="single" w:color="auto" w:sz="4" w:space="0"/>
              <w:left w:val="single" w:color="auto" w:sz="4" w:space="0"/>
              <w:bottom w:val="single" w:color="auto" w:sz="4" w:space="0"/>
              <w:right w:val="single" w:color="auto" w:sz="12" w:space="0"/>
            </w:tcBorders>
            <w:vAlign w:val="center"/>
          </w:tcPr>
          <w:p w14:paraId="41D854BF">
            <w:pPr>
              <w:topLinePunct/>
              <w:jc w:val="center"/>
              <w:rPr>
                <w:rFonts w:ascii="Times New Roman" w:hAnsi="Times New Roman" w:eastAsia="宋体" w:cs="Times New Roman"/>
                <w:color w:val="auto"/>
                <w:szCs w:val="21"/>
                <w:highlight w:val="none"/>
              </w:rPr>
            </w:pPr>
          </w:p>
        </w:tc>
      </w:tr>
      <w:tr w14:paraId="56BBC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407" w:type="dxa"/>
            <w:tcBorders>
              <w:top w:val="single" w:color="auto" w:sz="4" w:space="0"/>
              <w:left w:val="single" w:color="auto" w:sz="12" w:space="0"/>
              <w:bottom w:val="single" w:color="auto" w:sz="4" w:space="0"/>
              <w:right w:val="single" w:color="auto" w:sz="4" w:space="0"/>
            </w:tcBorders>
            <w:vAlign w:val="center"/>
          </w:tcPr>
          <w:p w14:paraId="067D984F">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企业资质</w:t>
            </w:r>
          </w:p>
          <w:p w14:paraId="3A2391D1">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等级</w:t>
            </w:r>
          </w:p>
        </w:tc>
        <w:tc>
          <w:tcPr>
            <w:tcW w:w="7334" w:type="dxa"/>
            <w:gridSpan w:val="4"/>
            <w:tcBorders>
              <w:top w:val="single" w:color="auto" w:sz="4" w:space="0"/>
              <w:left w:val="single" w:color="auto" w:sz="4" w:space="0"/>
              <w:bottom w:val="single" w:color="auto" w:sz="4" w:space="0"/>
              <w:right w:val="single" w:color="auto" w:sz="12" w:space="0"/>
            </w:tcBorders>
            <w:vAlign w:val="center"/>
          </w:tcPr>
          <w:p w14:paraId="352DAAD5">
            <w:pPr>
              <w:topLinePunct/>
              <w:jc w:val="center"/>
              <w:rPr>
                <w:rFonts w:ascii="Times New Roman" w:hAnsi="Times New Roman" w:eastAsia="宋体" w:cs="Times New Roman"/>
                <w:color w:val="auto"/>
                <w:szCs w:val="21"/>
                <w:highlight w:val="none"/>
              </w:rPr>
            </w:pPr>
          </w:p>
        </w:tc>
      </w:tr>
      <w:tr w14:paraId="4006E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407" w:type="dxa"/>
            <w:tcBorders>
              <w:top w:val="single" w:color="auto" w:sz="4" w:space="0"/>
              <w:left w:val="single" w:color="auto" w:sz="12" w:space="0"/>
              <w:bottom w:val="single" w:color="auto" w:sz="4" w:space="0"/>
              <w:right w:val="single" w:color="auto" w:sz="4" w:space="0"/>
            </w:tcBorders>
            <w:vAlign w:val="center"/>
          </w:tcPr>
          <w:p w14:paraId="6CD963A3">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资产构成情况及投资参股的关联企业情况</w:t>
            </w:r>
          </w:p>
        </w:tc>
        <w:tc>
          <w:tcPr>
            <w:tcW w:w="7334" w:type="dxa"/>
            <w:gridSpan w:val="4"/>
            <w:tcBorders>
              <w:top w:val="single" w:color="auto" w:sz="4" w:space="0"/>
              <w:left w:val="single" w:color="auto" w:sz="4" w:space="0"/>
              <w:bottom w:val="single" w:color="auto" w:sz="4" w:space="0"/>
              <w:right w:val="single" w:color="auto" w:sz="12" w:space="0"/>
            </w:tcBorders>
            <w:vAlign w:val="center"/>
          </w:tcPr>
          <w:p w14:paraId="3EA80FA8">
            <w:pPr>
              <w:topLinePunct/>
              <w:rPr>
                <w:rFonts w:ascii="Times New Roman" w:hAnsi="Times New Roman" w:eastAsia="宋体" w:cs="Times New Roman"/>
                <w:color w:val="auto"/>
                <w:szCs w:val="21"/>
                <w:highlight w:val="none"/>
              </w:rPr>
            </w:pPr>
          </w:p>
          <w:p w14:paraId="0B703228">
            <w:pPr>
              <w:topLinePunct/>
              <w:jc w:val="center"/>
              <w:rPr>
                <w:rFonts w:ascii="Times New Roman" w:hAnsi="Times New Roman" w:eastAsia="宋体" w:cs="Times New Roman"/>
                <w:color w:val="auto"/>
                <w:szCs w:val="21"/>
                <w:highlight w:val="none"/>
              </w:rPr>
            </w:pPr>
          </w:p>
          <w:p w14:paraId="2964E1E3">
            <w:pPr>
              <w:topLinePunct/>
              <w:rPr>
                <w:rFonts w:ascii="Times New Roman" w:hAnsi="Times New Roman" w:eastAsia="宋体" w:cs="Times New Roman"/>
                <w:color w:val="auto"/>
                <w:szCs w:val="21"/>
                <w:highlight w:val="none"/>
              </w:rPr>
            </w:pPr>
          </w:p>
        </w:tc>
      </w:tr>
      <w:tr w14:paraId="0EC50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1407" w:type="dxa"/>
            <w:tcBorders>
              <w:top w:val="single" w:color="auto" w:sz="4" w:space="0"/>
              <w:left w:val="single" w:color="auto" w:sz="12" w:space="0"/>
              <w:bottom w:val="single" w:color="auto" w:sz="12" w:space="0"/>
              <w:right w:val="single" w:color="auto" w:sz="4" w:space="0"/>
            </w:tcBorders>
            <w:vAlign w:val="center"/>
          </w:tcPr>
          <w:p w14:paraId="6360A9D9">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w:t>
            </w:r>
          </w:p>
        </w:tc>
        <w:tc>
          <w:tcPr>
            <w:tcW w:w="7334" w:type="dxa"/>
            <w:gridSpan w:val="4"/>
            <w:tcBorders>
              <w:top w:val="single" w:color="auto" w:sz="4" w:space="0"/>
              <w:left w:val="single" w:color="auto" w:sz="4" w:space="0"/>
              <w:bottom w:val="single" w:color="auto" w:sz="12" w:space="0"/>
              <w:right w:val="single" w:color="auto" w:sz="12" w:space="0"/>
            </w:tcBorders>
            <w:vAlign w:val="center"/>
          </w:tcPr>
          <w:p w14:paraId="0E422CDE">
            <w:pPr>
              <w:topLinePunct/>
              <w:jc w:val="center"/>
              <w:rPr>
                <w:rFonts w:ascii="Times New Roman" w:hAnsi="Times New Roman" w:eastAsia="宋体" w:cs="Times New Roman"/>
                <w:color w:val="auto"/>
                <w:szCs w:val="21"/>
                <w:highlight w:val="none"/>
              </w:rPr>
            </w:pPr>
          </w:p>
        </w:tc>
      </w:tr>
    </w:tbl>
    <w:p w14:paraId="266ADF20">
      <w:pPr>
        <w:widowControl w:val="0"/>
        <w:autoSpaceDE w:val="0"/>
        <w:autoSpaceDN w:val="0"/>
        <w:spacing w:line="360" w:lineRule="atLeast"/>
        <w:ind w:left="180" w:firstLine="210" w:firstLineChars="100"/>
        <w:textAlignment w:val="bottom"/>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注：在本表后应附企业法人（或负责人）营业执照、</w:t>
      </w:r>
      <w:r>
        <w:rPr>
          <w:rFonts w:hint="eastAsia" w:ascii="Times New Roman" w:hAnsi="Times New Roman" w:eastAsia="宋体" w:cs="Times New Roman"/>
          <w:color w:val="auto"/>
          <w:szCs w:val="21"/>
          <w:highlight w:val="none"/>
          <w:lang w:eastAsia="zh-CN"/>
        </w:rPr>
        <w:t>市、县（含县级市）分支机构明细表、</w:t>
      </w:r>
      <w:r>
        <w:rPr>
          <w:rFonts w:ascii="Times New Roman" w:hAnsi="Times New Roman" w:eastAsia="宋体" w:cs="Times New Roman"/>
          <w:color w:val="auto"/>
          <w:szCs w:val="21"/>
          <w:highlight w:val="none"/>
        </w:rPr>
        <w:t>资质证书及资格审查要求的其他证件复印件。</w:t>
      </w:r>
    </w:p>
    <w:p w14:paraId="27FE7BCC">
      <w:pPr>
        <w:widowControl w:val="0"/>
        <w:autoSpaceDE w:val="0"/>
        <w:autoSpaceDN w:val="0"/>
        <w:spacing w:line="360" w:lineRule="atLeast"/>
        <w:ind w:left="420" w:leftChars="200"/>
        <w:textAlignment w:val="bottom"/>
        <w:rPr>
          <w:rFonts w:ascii="Times New Roman" w:hAnsi="Times New Roman" w:eastAsia="宋体" w:cs="Times New Roman"/>
          <w:color w:val="auto"/>
          <w:szCs w:val="21"/>
          <w:highlight w:val="none"/>
        </w:rPr>
      </w:pPr>
    </w:p>
    <w:p w14:paraId="16B29115">
      <w:pPr>
        <w:spacing w:line="440" w:lineRule="exact"/>
        <w:jc w:val="right"/>
        <w:rPr>
          <w:rFonts w:ascii="Times New Roman" w:hAnsi="Times New Roman" w:eastAsia="宋体" w:cs="Times New Roman"/>
          <w:color w:val="auto"/>
          <w:sz w:val="24"/>
          <w:highlight w:val="none"/>
        </w:rPr>
      </w:pPr>
    </w:p>
    <w:p w14:paraId="0DE47B79">
      <w:pPr>
        <w:spacing w:line="440" w:lineRule="exact"/>
        <w:jc w:val="right"/>
        <w:rPr>
          <w:rFonts w:ascii="Times New Roman" w:hAnsi="Times New Roman" w:eastAsia="宋体" w:cs="Times New Roman"/>
          <w:color w:val="auto"/>
          <w:sz w:val="24"/>
          <w:highlight w:val="none"/>
        </w:rPr>
      </w:pPr>
    </w:p>
    <w:p w14:paraId="537F0068">
      <w:pPr>
        <w:spacing w:line="440" w:lineRule="exact"/>
        <w:jc w:val="righ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服务商</w:t>
      </w:r>
      <w:r>
        <w:rPr>
          <w:rFonts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(盖单位章)</w:t>
      </w:r>
    </w:p>
    <w:p w14:paraId="71EE7306">
      <w:pPr>
        <w:pStyle w:val="14"/>
        <w:jc w:val="right"/>
        <w:rPr>
          <w:rFonts w:ascii="Times New Roman" w:hAnsi="Times New Roman" w:eastAsia="宋体" w:cs="Times New Roman"/>
          <w:color w:val="auto"/>
          <w:sz w:val="24"/>
          <w:highlight w:val="none"/>
          <w:u w:val="single"/>
        </w:rPr>
      </w:pPr>
    </w:p>
    <w:p w14:paraId="402C31DC">
      <w:pPr>
        <w:widowControl w:val="0"/>
        <w:autoSpaceDE w:val="0"/>
        <w:autoSpaceDN w:val="0"/>
        <w:spacing w:line="360" w:lineRule="atLeast"/>
        <w:ind w:left="180" w:firstLine="240" w:firstLineChars="100"/>
        <w:jc w:val="right"/>
        <w:textAlignment w:val="bottom"/>
        <w:rPr>
          <w:rFonts w:ascii="Times New Roman" w:hAnsi="Times New Roman" w:eastAsia="宋体" w:cs="Times New Roman"/>
          <w:color w:val="auto"/>
          <w:szCs w:val="21"/>
          <w:highlight w:val="none"/>
        </w:rPr>
      </w:pP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 xml:space="preserve">年 </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月</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日</w:t>
      </w:r>
    </w:p>
    <w:p w14:paraId="73573C26">
      <w:pPr>
        <w:widowControl w:val="0"/>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p>
    <w:p w14:paraId="325540CF">
      <w:pPr>
        <w:widowControl w:val="0"/>
        <w:rPr>
          <w:rFonts w:ascii="Times New Roman" w:hAnsi="Times New Roman" w:eastAsia="黑体" w:cs="Times New Roman"/>
          <w:color w:val="auto"/>
          <w:szCs w:val="21"/>
          <w:highlight w:val="none"/>
        </w:rPr>
      </w:pPr>
    </w:p>
    <w:p w14:paraId="2E6CE202">
      <w:pPr>
        <w:widowControl w:val="0"/>
        <w:rPr>
          <w:rFonts w:ascii="Times New Roman" w:hAnsi="Times New Roman" w:eastAsia="黑体" w:cs="Times New Roman"/>
          <w:color w:val="auto"/>
          <w:szCs w:val="21"/>
          <w:highlight w:val="none"/>
        </w:rPr>
      </w:pPr>
    </w:p>
    <w:p w14:paraId="1C07EC9E">
      <w:pPr>
        <w:widowControl w:val="0"/>
        <w:rPr>
          <w:rFonts w:ascii="Times New Roman" w:hAnsi="Times New Roman" w:eastAsia="黑体" w:cs="Times New Roman"/>
          <w:color w:val="auto"/>
          <w:szCs w:val="21"/>
          <w:highlight w:val="none"/>
        </w:rPr>
      </w:pPr>
    </w:p>
    <w:p w14:paraId="3E5B17F5">
      <w:pPr>
        <w:widowControl w:val="0"/>
        <w:rPr>
          <w:rFonts w:ascii="Times New Roman" w:hAnsi="Times New Roman" w:eastAsia="黑体" w:cs="Times New Roman"/>
          <w:color w:val="auto"/>
          <w:szCs w:val="21"/>
          <w:highlight w:val="none"/>
        </w:rPr>
      </w:pPr>
    </w:p>
    <w:p w14:paraId="7F26CACF">
      <w:pPr>
        <w:widowControl w:val="0"/>
        <w:rPr>
          <w:rFonts w:ascii="Times New Roman" w:hAnsi="Times New Roman" w:eastAsia="黑体" w:cs="Times New Roman"/>
          <w:color w:val="auto"/>
          <w:szCs w:val="21"/>
          <w:highlight w:val="none"/>
        </w:rPr>
      </w:pPr>
    </w:p>
    <w:p w14:paraId="654931FC">
      <w:pPr>
        <w:widowControl w:val="0"/>
        <w:rPr>
          <w:rFonts w:ascii="Times New Roman" w:hAnsi="Times New Roman" w:eastAsia="黑体" w:cs="Times New Roman"/>
          <w:color w:val="auto"/>
          <w:szCs w:val="21"/>
          <w:highlight w:val="none"/>
        </w:rPr>
      </w:pPr>
    </w:p>
    <w:p w14:paraId="7B5C1353">
      <w:pPr>
        <w:widowControl w:val="0"/>
        <w:rPr>
          <w:rFonts w:ascii="Times New Roman" w:hAnsi="Times New Roman" w:eastAsia="黑体" w:cs="Times New Roman"/>
          <w:color w:val="auto"/>
          <w:szCs w:val="21"/>
          <w:highlight w:val="none"/>
        </w:rPr>
      </w:pPr>
    </w:p>
    <w:p w14:paraId="735FB08D">
      <w:pPr>
        <w:widowControl w:val="0"/>
        <w:rPr>
          <w:rFonts w:ascii="Times New Roman" w:hAnsi="Times New Roman" w:eastAsia="黑体" w:cs="Times New Roman"/>
          <w:color w:val="auto"/>
          <w:szCs w:val="21"/>
          <w:highlight w:val="none"/>
        </w:rPr>
      </w:pPr>
    </w:p>
    <w:p w14:paraId="499C07CF">
      <w:pPr>
        <w:widowControl w:val="0"/>
        <w:rPr>
          <w:rFonts w:ascii="Times New Roman" w:hAnsi="Times New Roman" w:eastAsia="黑体" w:cs="Times New Roman"/>
          <w:color w:val="auto"/>
          <w:szCs w:val="21"/>
          <w:highlight w:val="none"/>
        </w:rPr>
      </w:pPr>
    </w:p>
    <w:p w14:paraId="7750F37D">
      <w:pPr>
        <w:widowControl w:val="0"/>
        <w:rPr>
          <w:rFonts w:ascii="Times New Roman" w:hAnsi="Times New Roman" w:eastAsia="黑体" w:cs="Times New Roman"/>
          <w:color w:val="auto"/>
          <w:szCs w:val="21"/>
          <w:highlight w:val="none"/>
        </w:rPr>
      </w:pPr>
    </w:p>
    <w:p w14:paraId="727E5177">
      <w:pPr>
        <w:widowControl w:val="0"/>
        <w:rPr>
          <w:rFonts w:ascii="Times New Roman" w:hAnsi="Times New Roman" w:eastAsia="黑体" w:cs="Times New Roman"/>
          <w:color w:val="auto"/>
          <w:szCs w:val="21"/>
          <w:highlight w:val="none"/>
        </w:rPr>
      </w:pPr>
    </w:p>
    <w:p w14:paraId="65291381">
      <w:pPr>
        <w:widowControl w:val="0"/>
        <w:rPr>
          <w:rFonts w:ascii="Times New Roman" w:hAnsi="Times New Roman" w:eastAsia="黑体" w:cs="Times New Roman"/>
          <w:color w:val="auto"/>
          <w:szCs w:val="21"/>
          <w:highlight w:val="none"/>
        </w:rPr>
      </w:pPr>
    </w:p>
    <w:p w14:paraId="677C4E49">
      <w:pPr>
        <w:widowControl w:val="0"/>
        <w:rPr>
          <w:rFonts w:ascii="Times New Roman" w:hAnsi="Times New Roman" w:eastAsia="黑体" w:cs="Times New Roman"/>
          <w:color w:val="auto"/>
          <w:szCs w:val="21"/>
          <w:highlight w:val="none"/>
        </w:rPr>
      </w:pPr>
    </w:p>
    <w:p w14:paraId="4ACC0095">
      <w:pPr>
        <w:widowControl w:val="0"/>
        <w:rPr>
          <w:rFonts w:ascii="Times New Roman" w:hAnsi="Times New Roman" w:eastAsia="黑体" w:cs="Times New Roman"/>
          <w:color w:val="auto"/>
          <w:szCs w:val="21"/>
          <w:highlight w:val="none"/>
        </w:rPr>
      </w:pPr>
    </w:p>
    <w:p w14:paraId="56AB4C97">
      <w:pPr>
        <w:tabs>
          <w:tab w:val="left" w:pos="3060"/>
        </w:tabs>
        <w:topLinePunct/>
        <w:spacing w:line="440" w:lineRule="exact"/>
        <w:jc w:val="center"/>
        <w:outlineLvl w:val="0"/>
        <w:rPr>
          <w:rFonts w:ascii="Times New Roman" w:hAnsi="Times New Roman" w:eastAsia="黑体" w:cs="Times New Roman"/>
          <w:color w:val="auto"/>
          <w:sz w:val="36"/>
          <w:szCs w:val="36"/>
          <w:highlight w:val="none"/>
        </w:rPr>
      </w:pPr>
      <w:bookmarkStart w:id="233" w:name="_Toc372"/>
      <w:bookmarkStart w:id="234" w:name="_Toc32222_WPSOffice_Level1"/>
      <w:bookmarkStart w:id="235" w:name="_Toc6079"/>
      <w:bookmarkStart w:id="236" w:name="_Toc26053"/>
      <w:bookmarkStart w:id="237" w:name="_Toc12714"/>
      <w:bookmarkStart w:id="238" w:name="_Toc1073"/>
      <w:r>
        <w:rPr>
          <w:rFonts w:ascii="Times New Roman" w:hAnsi="Times New Roman" w:eastAsia="黑体" w:cs="Times New Roman"/>
          <w:color w:val="auto"/>
          <w:sz w:val="36"/>
          <w:szCs w:val="36"/>
          <w:highlight w:val="none"/>
        </w:rPr>
        <w:t>五、信誉情况</w:t>
      </w:r>
      <w:bookmarkEnd w:id="233"/>
      <w:bookmarkEnd w:id="234"/>
      <w:bookmarkEnd w:id="235"/>
      <w:bookmarkEnd w:id="236"/>
      <w:bookmarkEnd w:id="237"/>
      <w:bookmarkEnd w:id="238"/>
    </w:p>
    <w:p w14:paraId="100F6217">
      <w:pPr>
        <w:widowControl w:val="0"/>
        <w:spacing w:line="360" w:lineRule="auto"/>
        <w:rPr>
          <w:rFonts w:ascii="Times New Roman" w:hAnsi="Times New Roman" w:cs="Times New Roman"/>
          <w:color w:val="auto"/>
          <w:sz w:val="28"/>
          <w:szCs w:val="28"/>
          <w:highlight w:val="none"/>
        </w:rPr>
      </w:pPr>
      <w:r>
        <w:rPr>
          <w:rFonts w:ascii="Times New Roman" w:hAnsi="Times New Roman" w:eastAsia="宋体" w:cs="Times New Roman"/>
          <w:color w:val="auto"/>
          <w:kern w:val="0"/>
          <w:sz w:val="28"/>
          <w:szCs w:val="28"/>
          <w:highlight w:val="none"/>
          <w:lang w:bidi="ar"/>
        </w:rPr>
        <w:t xml:space="preserve">响应人提供 </w:t>
      </w:r>
    </w:p>
    <w:p w14:paraId="1420283B">
      <w:pPr>
        <w:widowControl w:val="0"/>
        <w:spacing w:line="360" w:lineRule="auto"/>
        <w:rPr>
          <w:rFonts w:ascii="Times New Roman" w:hAnsi="Times New Roman" w:cs="Times New Roman"/>
          <w:color w:val="auto"/>
          <w:sz w:val="28"/>
          <w:szCs w:val="28"/>
          <w:highlight w:val="none"/>
        </w:rPr>
      </w:pPr>
      <w:r>
        <w:rPr>
          <w:rFonts w:ascii="Times New Roman" w:hAnsi="Times New Roman" w:eastAsia="宋体" w:cs="Times New Roman"/>
          <w:b/>
          <w:bCs/>
          <w:color w:val="auto"/>
          <w:kern w:val="0"/>
          <w:sz w:val="28"/>
          <w:szCs w:val="28"/>
          <w:highlight w:val="none"/>
          <w:lang w:bidi="ar"/>
        </w:rPr>
        <w:t xml:space="preserve">1、信用中国官网（www.creditchina.gov.cn）相关查询结果的截图。 </w:t>
      </w:r>
    </w:p>
    <w:p w14:paraId="6350AA2D">
      <w:pPr>
        <w:widowControl w:val="0"/>
        <w:spacing w:line="360" w:lineRule="auto"/>
        <w:rPr>
          <w:rFonts w:ascii="Times New Roman" w:hAnsi="Times New Roman" w:cs="Times New Roman"/>
          <w:color w:val="auto"/>
          <w:sz w:val="28"/>
          <w:szCs w:val="28"/>
          <w:highlight w:val="none"/>
        </w:rPr>
      </w:pPr>
      <w:r>
        <w:rPr>
          <w:rFonts w:ascii="Times New Roman" w:hAnsi="Times New Roman" w:eastAsia="宋体" w:cs="Times New Roman"/>
          <w:b/>
          <w:bCs/>
          <w:color w:val="auto"/>
          <w:kern w:val="0"/>
          <w:sz w:val="28"/>
          <w:szCs w:val="28"/>
          <w:highlight w:val="none"/>
          <w:lang w:bidi="ar"/>
        </w:rPr>
        <w:t xml:space="preserve">2、其他投标人认为应附的材料。 </w:t>
      </w:r>
    </w:p>
    <w:p w14:paraId="302140FC">
      <w:pPr>
        <w:widowControl w:val="0"/>
        <w:spacing w:line="360" w:lineRule="auto"/>
        <w:rPr>
          <w:rFonts w:ascii="Times New Roman" w:hAnsi="Times New Roman" w:eastAsia="宋体" w:cs="Times New Roman"/>
          <w:b/>
          <w:bCs/>
          <w:color w:val="auto"/>
          <w:kern w:val="0"/>
          <w:sz w:val="22"/>
          <w:szCs w:val="22"/>
          <w:highlight w:val="none"/>
          <w:lang w:bidi="ar"/>
        </w:rPr>
      </w:pPr>
    </w:p>
    <w:p w14:paraId="1CF31344">
      <w:pPr>
        <w:widowControl w:val="0"/>
        <w:spacing w:line="360" w:lineRule="auto"/>
        <w:rPr>
          <w:rFonts w:ascii="Times New Roman" w:hAnsi="Times New Roman" w:eastAsia="宋体" w:cs="Times New Roman"/>
          <w:b/>
          <w:bCs/>
          <w:color w:val="auto"/>
          <w:kern w:val="0"/>
          <w:sz w:val="24"/>
          <w:highlight w:val="none"/>
          <w:lang w:bidi="ar"/>
        </w:rPr>
      </w:pPr>
    </w:p>
    <w:p w14:paraId="2051B7A6">
      <w:pPr>
        <w:widowControl w:val="0"/>
        <w:spacing w:line="560" w:lineRule="exact"/>
        <w:ind w:firstLine="0" w:firstLineChars="0"/>
        <w:jc w:val="center"/>
        <w:rPr>
          <w:rFonts w:ascii="Times New Roman" w:hAnsi="Times New Roman" w:eastAsia="宋体" w:cs="Times New Roman"/>
          <w:b/>
          <w:bCs/>
          <w:color w:val="auto"/>
          <w:kern w:val="0"/>
          <w:sz w:val="36"/>
          <w:szCs w:val="36"/>
          <w:highlight w:val="none"/>
          <w:lang w:bidi="ar"/>
        </w:rPr>
      </w:pPr>
      <w:r>
        <w:rPr>
          <w:rFonts w:ascii="Times New Roman" w:hAnsi="Times New Roman" w:eastAsia="宋体" w:cs="Times New Roman"/>
          <w:b/>
          <w:bCs/>
          <w:color w:val="auto"/>
          <w:kern w:val="0"/>
          <w:sz w:val="36"/>
          <w:szCs w:val="36"/>
          <w:highlight w:val="none"/>
          <w:lang w:bidi="ar"/>
        </w:rPr>
        <w:t>承诺函</w:t>
      </w:r>
    </w:p>
    <w:p w14:paraId="0F29A0C7">
      <w:pPr>
        <w:pStyle w:val="14"/>
        <w:spacing w:after="0" w:line="560" w:lineRule="exact"/>
        <w:ind w:firstLine="420" w:firstLineChars="200"/>
        <w:jc w:val="left"/>
        <w:rPr>
          <w:rFonts w:ascii="Times New Roman" w:hAnsi="Times New Roman" w:cs="Times New Roman"/>
          <w:color w:val="auto"/>
          <w:highlight w:val="none"/>
        </w:rPr>
      </w:pPr>
    </w:p>
    <w:p w14:paraId="17A161CE">
      <w:pPr>
        <w:widowControl w:val="0"/>
        <w:spacing w:line="560" w:lineRule="exact"/>
        <w:ind w:firstLine="0" w:firstLineChars="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致：</w:t>
      </w:r>
      <w:r>
        <w:rPr>
          <w:rFonts w:hint="eastAsia" w:asciiTheme="minorEastAsia" w:hAnsiTheme="minorEastAsia" w:eastAsiaTheme="minorEastAsia" w:cstheme="minorEastAsia"/>
          <w:color w:val="auto"/>
          <w:kern w:val="0"/>
          <w:sz w:val="28"/>
          <w:szCs w:val="28"/>
          <w:highlight w:val="none"/>
          <w:u w:val="single"/>
          <w:lang w:bidi="ar"/>
        </w:rPr>
        <w:t xml:space="preserve">                </w:t>
      </w:r>
      <w:r>
        <w:rPr>
          <w:rFonts w:hint="eastAsia" w:asciiTheme="minorEastAsia" w:hAnsiTheme="minorEastAsia" w:eastAsiaTheme="minorEastAsia" w:cstheme="minorEastAsia"/>
          <w:color w:val="auto"/>
          <w:kern w:val="0"/>
          <w:sz w:val="28"/>
          <w:szCs w:val="28"/>
          <w:highlight w:val="none"/>
          <w:lang w:bidi="ar"/>
        </w:rPr>
        <w:t xml:space="preserve">（采购人） </w:t>
      </w:r>
    </w:p>
    <w:p w14:paraId="72705097">
      <w:pPr>
        <w:widowControl w:val="0"/>
        <w:spacing w:line="560" w:lineRule="exact"/>
        <w:ind w:firstLine="560" w:firstLineChars="200"/>
        <w:jc w:val="left"/>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 xml:space="preserve">我单位参与 </w:t>
      </w:r>
      <w:r>
        <w:rPr>
          <w:rFonts w:hint="eastAsia" w:asciiTheme="minorEastAsia" w:hAnsiTheme="minorEastAsia" w:eastAsiaTheme="minorEastAsia" w:cstheme="minorEastAsia"/>
          <w:color w:val="auto"/>
          <w:kern w:val="0"/>
          <w:sz w:val="28"/>
          <w:szCs w:val="28"/>
          <w:highlight w:val="none"/>
          <w:u w:val="single"/>
          <w:lang w:bidi="ar"/>
        </w:rPr>
        <w:t xml:space="preserve">             </w:t>
      </w:r>
      <w:r>
        <w:rPr>
          <w:rFonts w:hint="eastAsia" w:asciiTheme="minorEastAsia" w:hAnsiTheme="minorEastAsia" w:eastAsiaTheme="minorEastAsia" w:cstheme="minorEastAsia"/>
          <w:color w:val="auto"/>
          <w:kern w:val="0"/>
          <w:sz w:val="28"/>
          <w:szCs w:val="28"/>
          <w:highlight w:val="none"/>
          <w:lang w:bidi="ar"/>
        </w:rPr>
        <w:t xml:space="preserve">（项目名称）的投标，现在此承诺：至投标截止时间为止，近三年内 </w:t>
      </w:r>
      <w:r>
        <w:rPr>
          <w:rFonts w:hint="eastAsia" w:asciiTheme="minorEastAsia" w:hAnsiTheme="minorEastAsia" w:eastAsiaTheme="minorEastAsia" w:cstheme="minorEastAsia"/>
          <w:color w:val="auto"/>
          <w:kern w:val="0"/>
          <w:sz w:val="28"/>
          <w:szCs w:val="28"/>
          <w:highlight w:val="none"/>
          <w:u w:val="single"/>
          <w:lang w:bidi="ar"/>
        </w:rPr>
        <w:t xml:space="preserve">              </w:t>
      </w:r>
      <w:r>
        <w:rPr>
          <w:rFonts w:hint="eastAsia" w:asciiTheme="minorEastAsia" w:hAnsiTheme="minorEastAsia" w:eastAsiaTheme="minorEastAsia" w:cstheme="minorEastAsia"/>
          <w:color w:val="auto"/>
          <w:kern w:val="0"/>
          <w:sz w:val="28"/>
          <w:szCs w:val="28"/>
          <w:highlight w:val="none"/>
          <w:lang w:bidi="ar"/>
        </w:rPr>
        <w:t xml:space="preserve">（投标人全称）、法定代表人 </w:t>
      </w:r>
      <w:r>
        <w:rPr>
          <w:rFonts w:hint="eastAsia" w:asciiTheme="minorEastAsia" w:hAnsiTheme="minorEastAsia" w:eastAsiaTheme="minorEastAsia" w:cstheme="minorEastAsia"/>
          <w:color w:val="auto"/>
          <w:kern w:val="0"/>
          <w:sz w:val="28"/>
          <w:szCs w:val="28"/>
          <w:highlight w:val="none"/>
          <w:u w:val="single"/>
          <w:lang w:bidi="ar"/>
        </w:rPr>
        <w:t xml:space="preserve">            </w:t>
      </w:r>
      <w:r>
        <w:rPr>
          <w:rFonts w:hint="eastAsia" w:asciiTheme="minorEastAsia" w:hAnsiTheme="minorEastAsia" w:eastAsiaTheme="minorEastAsia" w:cstheme="minorEastAsia"/>
          <w:color w:val="auto"/>
          <w:kern w:val="0"/>
          <w:sz w:val="28"/>
          <w:szCs w:val="28"/>
          <w:highlight w:val="none"/>
          <w:lang w:bidi="ar"/>
        </w:rPr>
        <w:t>（姓名）不存在任何经检察机关认定的行贿犯罪行为， 且我单位在贵单位（包括安徽省交通控股集团有限公司及其全资、控股子公司）近三年无放弃中标或放弃履约、串通投标、提供虚假投标材料等不良行为，未被各级各地行业主管部门 或招标投标监督管理部门限制投标且在限制投标期内。</w:t>
      </w:r>
    </w:p>
    <w:p w14:paraId="5EB3B2A1">
      <w:pPr>
        <w:widowControl w:val="0"/>
        <w:spacing w:line="560" w:lineRule="exact"/>
        <w:ind w:firstLine="560" w:firstLineChars="200"/>
        <w:jc w:val="left"/>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经评标委员会或招标人核查，如果上述承诺事项与事实不符，我单位愿意承担被取消投 标和中标资格等后果。</w:t>
      </w:r>
    </w:p>
    <w:p w14:paraId="0341AA87">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 xml:space="preserve">特此承诺。 </w:t>
      </w:r>
    </w:p>
    <w:p w14:paraId="477CF8D4">
      <w:pPr>
        <w:widowControl w:val="0"/>
        <w:spacing w:line="560" w:lineRule="exact"/>
        <w:ind w:firstLine="560" w:firstLineChars="200"/>
        <w:jc w:val="left"/>
        <w:rPr>
          <w:rFonts w:hint="eastAsia" w:asciiTheme="minorEastAsia" w:hAnsiTheme="minorEastAsia" w:eastAsiaTheme="minorEastAsia" w:cstheme="minorEastAsia"/>
          <w:color w:val="auto"/>
          <w:kern w:val="0"/>
          <w:sz w:val="28"/>
          <w:szCs w:val="28"/>
          <w:highlight w:val="none"/>
          <w:lang w:bidi="ar"/>
        </w:rPr>
      </w:pPr>
    </w:p>
    <w:p w14:paraId="3B5649EA">
      <w:pPr>
        <w:pStyle w:val="14"/>
        <w:spacing w:after="0" w:line="560" w:lineRule="exact"/>
        <w:ind w:firstLine="560" w:firstLineChars="200"/>
        <w:jc w:val="left"/>
        <w:rPr>
          <w:rFonts w:hint="eastAsia" w:asciiTheme="minorEastAsia" w:hAnsiTheme="minorEastAsia" w:eastAsiaTheme="minorEastAsia" w:cstheme="minorEastAsia"/>
          <w:color w:val="auto"/>
          <w:sz w:val="28"/>
          <w:szCs w:val="28"/>
          <w:highlight w:val="none"/>
        </w:rPr>
      </w:pPr>
    </w:p>
    <w:p w14:paraId="4D65351C">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06AA9131">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p>
    <w:p w14:paraId="1F889843">
      <w:pPr>
        <w:spacing w:line="560" w:lineRule="exact"/>
        <w:ind w:firstLine="560" w:firstLineChars="200"/>
        <w:jc w:val="righ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服务商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(盖单位章)</w:t>
      </w:r>
    </w:p>
    <w:p w14:paraId="2078368F">
      <w:pPr>
        <w:pStyle w:val="14"/>
        <w:spacing w:after="0" w:line="560" w:lineRule="exact"/>
        <w:ind w:firstLine="560" w:firstLineChars="200"/>
        <w:jc w:val="right"/>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年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p>
    <w:p w14:paraId="6C78C652">
      <w:pPr>
        <w:pStyle w:val="14"/>
        <w:spacing w:after="0" w:line="560" w:lineRule="exact"/>
        <w:ind w:firstLine="560" w:firstLineChars="200"/>
        <w:jc w:val="left"/>
        <w:rPr>
          <w:rFonts w:hint="eastAsia" w:asciiTheme="minorEastAsia" w:hAnsiTheme="minorEastAsia" w:eastAsiaTheme="minorEastAsia" w:cstheme="minorEastAsia"/>
          <w:color w:val="auto"/>
          <w:sz w:val="28"/>
          <w:szCs w:val="28"/>
          <w:highlight w:val="none"/>
        </w:rPr>
      </w:pPr>
    </w:p>
    <w:p w14:paraId="4229362F">
      <w:pPr>
        <w:spacing w:line="560" w:lineRule="exact"/>
        <w:ind w:firstLine="54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7"/>
          <w:szCs w:val="27"/>
          <w:highlight w:val="none"/>
        </w:rPr>
        <w:br w:type="page"/>
      </w:r>
    </w:p>
    <w:p w14:paraId="0EE36662">
      <w:pPr>
        <w:spacing w:line="440" w:lineRule="exact"/>
        <w:jc w:val="center"/>
        <w:outlineLvl w:val="0"/>
        <w:rPr>
          <w:rFonts w:ascii="Times New Roman" w:hAnsi="Times New Roman" w:eastAsia="黑体" w:cs="Times New Roman"/>
          <w:color w:val="auto"/>
          <w:sz w:val="36"/>
          <w:szCs w:val="36"/>
          <w:highlight w:val="none"/>
        </w:rPr>
      </w:pPr>
      <w:bookmarkStart w:id="239" w:name="_Toc17528"/>
      <w:bookmarkStart w:id="240" w:name="_Toc2864"/>
      <w:bookmarkStart w:id="241" w:name="_Toc29544"/>
      <w:bookmarkStart w:id="242" w:name="_Toc30617"/>
      <w:bookmarkStart w:id="243" w:name="_Toc31596_WPSOffice_Level1"/>
      <w:bookmarkStart w:id="244" w:name="_Toc24717"/>
      <w:r>
        <w:rPr>
          <w:rFonts w:ascii="Times New Roman" w:hAnsi="Times New Roman" w:eastAsia="黑体" w:cs="Times New Roman"/>
          <w:color w:val="auto"/>
          <w:sz w:val="36"/>
          <w:szCs w:val="36"/>
          <w:highlight w:val="none"/>
        </w:rPr>
        <w:t>六、服务与技术方案</w:t>
      </w:r>
      <w:bookmarkEnd w:id="239"/>
      <w:bookmarkEnd w:id="240"/>
      <w:bookmarkEnd w:id="241"/>
      <w:bookmarkEnd w:id="242"/>
      <w:bookmarkEnd w:id="243"/>
      <w:bookmarkEnd w:id="244"/>
    </w:p>
    <w:p w14:paraId="5147DD32">
      <w:pPr>
        <w:spacing w:line="440" w:lineRule="exact"/>
        <w:rPr>
          <w:rFonts w:ascii="Times New Roman" w:hAnsi="Times New Roman" w:eastAsia="宋体" w:cs="Times New Roman"/>
          <w:color w:val="auto"/>
          <w:sz w:val="20"/>
          <w:szCs w:val="20"/>
          <w:highlight w:val="none"/>
        </w:rPr>
      </w:pPr>
    </w:p>
    <w:p w14:paraId="2F29DCBC">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服务商</w:t>
      </w:r>
      <w:r>
        <w:rPr>
          <w:rFonts w:hint="eastAsia" w:asciiTheme="minorEastAsia" w:hAnsiTheme="minorEastAsia" w:eastAsiaTheme="minorEastAsia" w:cstheme="minorEastAsia"/>
          <w:color w:val="auto"/>
          <w:sz w:val="28"/>
          <w:szCs w:val="28"/>
          <w:highlight w:val="none"/>
        </w:rPr>
        <w:t>应按项目特点以及采购方需求编制服务与技术方案(文字宜精炼、内容具有针对性)。</w:t>
      </w:r>
    </w:p>
    <w:p w14:paraId="3FD574E1">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包括但不限于以下内容：</w:t>
      </w:r>
    </w:p>
    <w:p w14:paraId="7AF60D7F">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 xml:space="preserve">1、企业基本介绍（包括全国服务能力的介绍）； </w:t>
      </w:r>
    </w:p>
    <w:p w14:paraId="24BB7B97">
      <w:pPr>
        <w:widowControl w:val="0"/>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2、服务团队介绍及服务小组成员简历附表；</w:t>
      </w:r>
    </w:p>
    <w:p w14:paraId="390E61C0">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 xml:space="preserve">3、针对本项目理赔服务方案； </w:t>
      </w:r>
    </w:p>
    <w:p w14:paraId="7B2781CC">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 xml:space="preserve">4、保险服务要求响应情况及本地化服务方案； </w:t>
      </w:r>
    </w:p>
    <w:p w14:paraId="0A0E1C67">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 xml:space="preserve">5、其他增值服务方案。 </w:t>
      </w:r>
    </w:p>
    <w:p w14:paraId="58631174">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6、其他</w:t>
      </w:r>
    </w:p>
    <w:p w14:paraId="669DD52C">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7AD55ABE">
      <w:pPr>
        <w:spacing w:line="440" w:lineRule="exact"/>
        <w:jc w:val="center"/>
        <w:outlineLvl w:val="0"/>
        <w:rPr>
          <w:rFonts w:hint="eastAsia" w:ascii="黑体" w:hAnsi="黑体" w:eastAsia="黑体" w:cs="黑体"/>
          <w:b w:val="0"/>
          <w:bCs w:val="0"/>
          <w:color w:val="auto"/>
          <w:sz w:val="36"/>
          <w:szCs w:val="36"/>
          <w:highlight w:val="none"/>
        </w:rPr>
      </w:pPr>
      <w:bookmarkStart w:id="245" w:name="_Toc11219_WPSOffice_Level1"/>
      <w:bookmarkStart w:id="246" w:name="_Toc1371"/>
      <w:bookmarkStart w:id="247" w:name="_Toc6863"/>
      <w:bookmarkStart w:id="248" w:name="_Toc8006"/>
      <w:bookmarkStart w:id="249" w:name="_Toc2336"/>
      <w:bookmarkStart w:id="250" w:name="_Toc31284"/>
      <w:r>
        <w:rPr>
          <w:rFonts w:hint="eastAsia" w:ascii="黑体" w:hAnsi="黑体" w:eastAsia="黑体" w:cs="黑体"/>
          <w:b w:val="0"/>
          <w:bCs w:val="0"/>
          <w:color w:val="auto"/>
          <w:sz w:val="36"/>
          <w:szCs w:val="36"/>
          <w:highlight w:val="none"/>
        </w:rPr>
        <w:t>七、其它材料</w:t>
      </w:r>
      <w:bookmarkEnd w:id="245"/>
      <w:bookmarkEnd w:id="246"/>
      <w:bookmarkEnd w:id="247"/>
      <w:bookmarkEnd w:id="248"/>
      <w:bookmarkEnd w:id="249"/>
      <w:r>
        <w:rPr>
          <w:rFonts w:hint="eastAsia" w:ascii="黑体" w:hAnsi="黑体" w:eastAsia="黑体" w:cs="黑体"/>
          <w:b w:val="0"/>
          <w:bCs w:val="0"/>
          <w:color w:val="auto"/>
          <w:sz w:val="36"/>
          <w:szCs w:val="36"/>
          <w:highlight w:val="none"/>
        </w:rPr>
        <w:t>（代理费比例确认函单独密封报送）</w:t>
      </w:r>
      <w:bookmarkEnd w:id="250"/>
    </w:p>
    <w:p w14:paraId="4F6C07CD">
      <w:pPr>
        <w:pStyle w:val="11"/>
        <w:ind w:firstLine="0"/>
        <w:rPr>
          <w:rFonts w:ascii="Times New Roman" w:hAnsi="Times New Roman" w:eastAsia="宋体" w:cs="Times New Roman"/>
          <w:b/>
          <w:bCs/>
          <w:color w:val="auto"/>
          <w:sz w:val="28"/>
          <w:szCs w:val="28"/>
          <w:highlight w:val="none"/>
        </w:rPr>
      </w:pPr>
    </w:p>
    <w:p w14:paraId="552C8DC5">
      <w:pPr>
        <w:pStyle w:val="11"/>
        <w:ind w:firstLine="0"/>
        <w:rPr>
          <w:rFonts w:ascii="Times New Roman" w:hAnsi="Times New Roman" w:eastAsia="宋体" w:cs="Times New Roman"/>
          <w:b/>
          <w:bCs/>
          <w:color w:val="auto"/>
          <w:sz w:val="28"/>
          <w:szCs w:val="28"/>
          <w:highlight w:val="none"/>
        </w:rPr>
      </w:pPr>
    </w:p>
    <w:p w14:paraId="291A30A2">
      <w:pPr>
        <w:pStyle w:val="11"/>
        <w:jc w:val="center"/>
        <w:rPr>
          <w:rFonts w:ascii="Times New Roman" w:hAnsi="Times New Roman" w:eastAsia="宋体" w:cs="Times New Roman"/>
          <w:b/>
          <w:bCs/>
          <w:color w:val="auto"/>
          <w:sz w:val="28"/>
          <w:szCs w:val="28"/>
          <w:highlight w:val="none"/>
        </w:rPr>
      </w:pPr>
      <w:r>
        <w:rPr>
          <w:rFonts w:ascii="Times New Roman" w:hAnsi="Times New Roman" w:eastAsia="宋体" w:cs="Times New Roman"/>
          <w:b/>
          <w:bCs/>
          <w:color w:val="auto"/>
          <w:sz w:val="28"/>
          <w:szCs w:val="28"/>
          <w:highlight w:val="none"/>
        </w:rPr>
        <w:t>代理费比例确认函</w:t>
      </w:r>
    </w:p>
    <w:p w14:paraId="11F8BBD0">
      <w:pPr>
        <w:pStyle w:val="11"/>
        <w:spacing w:line="560" w:lineRule="exact"/>
        <w:ind w:firstLine="482" w:firstLineChars="200"/>
        <w:jc w:val="left"/>
        <w:rPr>
          <w:rFonts w:ascii="Times New Roman" w:hAnsi="Times New Roman" w:eastAsia="宋体" w:cs="Times New Roman"/>
          <w:b/>
          <w:bCs/>
          <w:color w:val="auto"/>
          <w:sz w:val="24"/>
          <w:szCs w:val="24"/>
          <w:highlight w:val="none"/>
        </w:rPr>
      </w:pPr>
    </w:p>
    <w:p w14:paraId="14B233BD">
      <w:pPr>
        <w:pStyle w:val="11"/>
        <w:spacing w:line="560" w:lineRule="exact"/>
        <w:ind w:firstLine="0" w:firstLineChars="0"/>
        <w:jc w:val="left"/>
        <w:outlineLvl w:val="1"/>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安徽皖运保险代理有限公司：</w:t>
      </w:r>
    </w:p>
    <w:p w14:paraId="2FE1D485">
      <w:pPr>
        <w:spacing w:line="560" w:lineRule="exact"/>
        <w:ind w:left="0" w:leftChars="0" w:firstLine="560" w:firstLineChars="20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关于“</w:t>
      </w:r>
      <w:r>
        <w:rPr>
          <w:rFonts w:hint="eastAsia" w:asciiTheme="minorEastAsia" w:hAnsiTheme="minorEastAsia" w:eastAsiaTheme="minorEastAsia" w:cstheme="minorEastAsia"/>
          <w:color w:val="auto"/>
          <w:kern w:val="0"/>
          <w:sz w:val="28"/>
          <w:szCs w:val="28"/>
          <w:highlight w:val="none"/>
          <w:lang w:eastAsia="zh-CN"/>
        </w:rPr>
        <w:t>安徽交控工程集团有限公司保险服务项目采购（</w:t>
      </w:r>
      <w:r>
        <w:rPr>
          <w:rFonts w:hint="eastAsia" w:asciiTheme="minorEastAsia" w:hAnsiTheme="minorEastAsia" w:cstheme="minorEastAsia"/>
          <w:color w:val="auto"/>
          <w:kern w:val="0"/>
          <w:sz w:val="28"/>
          <w:szCs w:val="28"/>
          <w:highlight w:val="none"/>
          <w:lang w:eastAsia="zh-CN"/>
        </w:rPr>
        <w:t>03标包</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”的保险代理费，我公司承诺：</w:t>
      </w:r>
    </w:p>
    <w:p w14:paraId="582CA23B">
      <w:pPr>
        <w:pStyle w:val="30"/>
        <w:spacing w:after="0" w:line="56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w:t>
      </w:r>
      <w:r>
        <w:rPr>
          <w:rFonts w:hint="eastAsia" w:asciiTheme="minorEastAsia" w:hAnsiTheme="minorEastAsia" w:eastAsiaTheme="minorEastAsia" w:cstheme="minorEastAsia"/>
          <w:color w:val="auto"/>
          <w:sz w:val="28"/>
          <w:szCs w:val="28"/>
          <w:highlight w:val="none"/>
          <w:u w:val="single"/>
        </w:rPr>
        <w:t xml:space="preserve"> （投保险种）险净保费的</w:t>
      </w:r>
      <w:r>
        <w:rPr>
          <w:rFonts w:hint="eastAsia" w:asciiTheme="minorEastAsia" w:hAnsiTheme="minorEastAsia" w:cstheme="minorEastAsia"/>
          <w:color w:val="auto"/>
          <w:sz w:val="28"/>
          <w:szCs w:val="28"/>
          <w:highlight w:val="none"/>
          <w:u w:val="single"/>
          <w:lang w:val="en-US" w:eastAsia="zh-CN"/>
        </w:rPr>
        <w:t>***</w:t>
      </w:r>
      <w:r>
        <w:rPr>
          <w:rFonts w:hint="eastAsia" w:asciiTheme="minorEastAsia" w:hAnsiTheme="minorEastAsia" w:eastAsiaTheme="minorEastAsia" w:cstheme="minorEastAsia"/>
          <w:color w:val="auto"/>
          <w:sz w:val="28"/>
          <w:szCs w:val="28"/>
          <w:highlight w:val="none"/>
          <w:u w:val="single"/>
        </w:rPr>
        <w:t xml:space="preserve"> %确认代理手续费</w:t>
      </w:r>
      <w:r>
        <w:rPr>
          <w:rFonts w:hint="eastAsia" w:asciiTheme="minorEastAsia" w:hAnsiTheme="minorEastAsia" w:eastAsiaTheme="minorEastAsia" w:cstheme="minorEastAsia"/>
          <w:color w:val="auto"/>
          <w:sz w:val="28"/>
          <w:szCs w:val="28"/>
          <w:highlight w:val="none"/>
        </w:rPr>
        <w:t>；</w:t>
      </w:r>
    </w:p>
    <w:p w14:paraId="63747785">
      <w:pPr>
        <w:pStyle w:val="30"/>
        <w:spacing w:after="0" w:line="56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p>
    <w:p w14:paraId="335C918F">
      <w:pPr>
        <w:pStyle w:val="30"/>
        <w:spacing w:after="0" w:line="56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p>
    <w:p w14:paraId="07841A8D">
      <w:pPr>
        <w:pStyle w:val="14"/>
        <w:spacing w:after="0"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p>
    <w:p w14:paraId="033CC852">
      <w:pPr>
        <w:pStyle w:val="14"/>
        <w:spacing w:after="0" w:line="560" w:lineRule="exact"/>
        <w:ind w:firstLine="560" w:firstLineChars="200"/>
        <w:jc w:val="left"/>
        <w:rPr>
          <w:rFonts w:hint="eastAsia" w:asciiTheme="minorEastAsia" w:hAnsiTheme="minorEastAsia" w:cstheme="minorEastAsia"/>
          <w:color w:val="auto"/>
          <w:sz w:val="28"/>
          <w:szCs w:val="28"/>
          <w:highlight w:val="none"/>
          <w:lang w:eastAsia="zh-CN"/>
        </w:rPr>
      </w:pPr>
    </w:p>
    <w:p w14:paraId="759BE9DF">
      <w:pPr>
        <w:pStyle w:val="30"/>
        <w:spacing w:after="0" w:line="56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我司承诺在保险费到账后的10个工作日内支付相应的保险代理费。</w:t>
      </w:r>
    </w:p>
    <w:p w14:paraId="2EA661B7">
      <w:pPr>
        <w:pStyle w:val="14"/>
        <w:spacing w:after="0" w:line="560" w:lineRule="exact"/>
        <w:ind w:firstLine="560" w:firstLineChars="200"/>
        <w:jc w:val="left"/>
        <w:rPr>
          <w:rFonts w:hint="eastAsia" w:asciiTheme="minorEastAsia" w:hAnsiTheme="minorEastAsia" w:cstheme="minorEastAsia"/>
          <w:color w:val="auto"/>
          <w:sz w:val="28"/>
          <w:szCs w:val="28"/>
          <w:highlight w:val="none"/>
        </w:rPr>
      </w:pPr>
    </w:p>
    <w:p w14:paraId="603FFEA1">
      <w:pPr>
        <w:pStyle w:val="5"/>
        <w:keepNext w:val="0"/>
        <w:keepLines w:val="0"/>
        <w:numPr>
          <w:ilvl w:val="3"/>
          <w:numId w:val="0"/>
        </w:numPr>
        <w:spacing w:before="0" w:after="0"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注：1.实际结算以出具保险单中的保费金额为计算基数，代理费比例按本确认函执行。</w:t>
      </w:r>
    </w:p>
    <w:p w14:paraId="6495F77F">
      <w:pPr>
        <w:pStyle w:val="5"/>
        <w:keepNext w:val="0"/>
        <w:keepLines w:val="0"/>
        <w:numPr>
          <w:ilvl w:val="3"/>
          <w:numId w:val="0"/>
        </w:numPr>
        <w:spacing w:before="0" w:after="0" w:line="560" w:lineRule="exact"/>
        <w:ind w:firstLine="1120" w:firstLineChars="4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.请报送2份代理费比例确认函并单独密封，与响应文件一同送达代理人。</w:t>
      </w:r>
    </w:p>
    <w:p w14:paraId="09D813CD">
      <w:pPr>
        <w:spacing w:line="560" w:lineRule="exact"/>
        <w:ind w:firstLine="560" w:firstLineChars="200"/>
        <w:jc w:val="left"/>
        <w:rPr>
          <w:rFonts w:hint="eastAsia" w:asciiTheme="minorEastAsia" w:hAnsiTheme="minorEastAsia" w:cstheme="minorEastAsia"/>
          <w:color w:val="auto"/>
          <w:sz w:val="28"/>
          <w:szCs w:val="28"/>
          <w:highlight w:val="none"/>
        </w:rPr>
      </w:pPr>
    </w:p>
    <w:p w14:paraId="580D6862">
      <w:pPr>
        <w:spacing w:line="560" w:lineRule="exact"/>
        <w:ind w:firstLine="560" w:firstLineChars="200"/>
        <w:jc w:val="left"/>
        <w:rPr>
          <w:rFonts w:hint="eastAsia" w:asciiTheme="minorEastAsia" w:hAnsiTheme="minorEastAsia" w:cstheme="minorEastAsia"/>
          <w:color w:val="auto"/>
          <w:sz w:val="28"/>
          <w:szCs w:val="28"/>
          <w:highlight w:val="none"/>
        </w:rPr>
      </w:pPr>
    </w:p>
    <w:p w14:paraId="5687C4CD">
      <w:pPr>
        <w:pStyle w:val="30"/>
        <w:spacing w:after="0" w:line="56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p>
    <w:p w14:paraId="2C2C70EF">
      <w:pPr>
        <w:pStyle w:val="30"/>
        <w:spacing w:after="0" w:line="56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eastAsia="zh-CN"/>
        </w:rPr>
        <w:t>服务商</w:t>
      </w:r>
      <w:r>
        <w:rPr>
          <w:rFonts w:hint="eastAsia" w:asciiTheme="minorEastAsia" w:hAnsiTheme="minorEastAsia" w:eastAsiaTheme="minorEastAsia" w:cstheme="minorEastAsia"/>
          <w:color w:val="auto"/>
          <w:sz w:val="28"/>
          <w:szCs w:val="28"/>
          <w:highlight w:val="none"/>
        </w:rPr>
        <w:t>名称：（公章）</w:t>
      </w:r>
    </w:p>
    <w:p w14:paraId="01C9AD22">
      <w:pPr>
        <w:pStyle w:val="30"/>
        <w:spacing w:after="0" w:line="560" w:lineRule="exact"/>
        <w:ind w:left="0" w:leftChars="0"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日期：</w:t>
      </w:r>
      <w:r>
        <w:rPr>
          <w:rFonts w:hint="eastAsia" w:asciiTheme="minorEastAsia" w:hAnsiTheme="minorEastAsia" w:cstheme="minorEastAsia"/>
          <w:color w:val="auto"/>
          <w:sz w:val="28"/>
          <w:szCs w:val="28"/>
          <w:highlight w:val="none"/>
          <w:lang w:eastAsia="zh-CN"/>
        </w:rPr>
        <w:t>2026</w:t>
      </w:r>
      <w:r>
        <w:rPr>
          <w:rFonts w:hint="eastAsia" w:asciiTheme="minorEastAsia" w:hAnsiTheme="minorEastAsia" w:eastAsiaTheme="minorEastAsia" w:cstheme="minorEastAsia"/>
          <w:color w:val="auto"/>
          <w:sz w:val="28"/>
          <w:szCs w:val="28"/>
          <w:highlight w:val="none"/>
        </w:rPr>
        <w:t>年   月   日</w:t>
      </w:r>
      <w:bookmarkEnd w:id="215"/>
      <w:bookmarkEnd w:id="216"/>
      <w:bookmarkEnd w:id="217"/>
      <w:bookmarkEnd w:id="218"/>
      <w:bookmarkEnd w:id="219"/>
      <w:bookmarkEnd w:id="227"/>
      <w:bookmarkEnd w:id="228"/>
      <w:bookmarkEnd w:id="229"/>
      <w:bookmarkEnd w:id="230"/>
      <w:bookmarkEnd w:id="231"/>
    </w:p>
    <w:sectPr>
      <w:pgSz w:w="11906" w:h="16838"/>
      <w:pgMar w:top="1134" w:right="1134" w:bottom="364" w:left="136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5B688D-BB8E-4458-9CDD-D099692FDF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DBC35854-EA5E-4526-8F5A-55F3EEE08F72}"/>
  </w:font>
  <w:font w:name="Fang Song">
    <w:altName w:val="微软雅黑"/>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Sim Hei">
    <w:altName w:val="微软雅黑"/>
    <w:panose1 w:val="00000000000000000000"/>
    <w:charset w:val="86"/>
    <w:family w:val="auto"/>
    <w:pitch w:val="default"/>
    <w:sig w:usb0="00000000" w:usb1="00000000" w:usb2="00000010" w:usb3="00000000" w:csb0="00040000" w:csb1="0000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24F7A00B-CBF4-496C-91AA-C5F5C12EB114}"/>
  </w:font>
  <w:font w:name="WPSEMBED11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C2C44">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41EF">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8E981">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2FC15">
                          <w:pPr>
                            <w:pStyle w:val="2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12FC15">
                    <w:pPr>
                      <w:pStyle w:val="2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8B29">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1D259">
                          <w:pPr>
                            <w:pStyle w:val="2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41</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461D259">
                    <w:pPr>
                      <w:pStyle w:val="2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41</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C0CE">
    <w:pPr>
      <w:pStyle w:val="2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CC8D37"/>
    <w:multiLevelType w:val="singleLevel"/>
    <w:tmpl w:val="CCCC8D37"/>
    <w:lvl w:ilvl="0" w:tentative="0">
      <w:start w:val="1"/>
      <w:numFmt w:val="decimal"/>
      <w:suff w:val="space"/>
      <w:lvlText w:val="%1."/>
      <w:lvlJc w:val="left"/>
    </w:lvl>
  </w:abstractNum>
  <w:abstractNum w:abstractNumId="1">
    <w:nsid w:val="E49B6E4F"/>
    <w:multiLevelType w:val="singleLevel"/>
    <w:tmpl w:val="E49B6E4F"/>
    <w:lvl w:ilvl="0" w:tentative="0">
      <w:start w:val="7"/>
      <w:numFmt w:val="decimal"/>
      <w:suff w:val="space"/>
      <w:lvlText w:val="%1."/>
      <w:lvlJc w:val="left"/>
    </w:lvl>
  </w:abstractNum>
  <w:abstractNum w:abstractNumId="2">
    <w:nsid w:val="F7F54E8A"/>
    <w:multiLevelType w:val="singleLevel"/>
    <w:tmpl w:val="F7F54E8A"/>
    <w:lvl w:ilvl="0" w:tentative="0">
      <w:start w:val="7"/>
      <w:numFmt w:val="decimal"/>
      <w:suff w:val="space"/>
      <w:lvlText w:val="%1."/>
      <w:lvlJc w:val="left"/>
    </w:lvl>
  </w:abstractNum>
  <w:abstractNum w:abstractNumId="3">
    <w:nsid w:val="FAA59B94"/>
    <w:multiLevelType w:val="multilevel"/>
    <w:tmpl w:val="FAA59B94"/>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1NmE1ZmU2ZGNlYTBhNDFmNWI4YmM1Y2RhMmUzYjQifQ=="/>
  </w:docVars>
  <w:rsids>
    <w:rsidRoot w:val="00C9568B"/>
    <w:rsid w:val="000214CF"/>
    <w:rsid w:val="00026A7C"/>
    <w:rsid w:val="000466E6"/>
    <w:rsid w:val="00050875"/>
    <w:rsid w:val="00060A41"/>
    <w:rsid w:val="000811D3"/>
    <w:rsid w:val="00090A12"/>
    <w:rsid w:val="000A05EA"/>
    <w:rsid w:val="000B2C11"/>
    <w:rsid w:val="000E7EB9"/>
    <w:rsid w:val="000F3EE9"/>
    <w:rsid w:val="001018A1"/>
    <w:rsid w:val="00126DE8"/>
    <w:rsid w:val="0015539A"/>
    <w:rsid w:val="00160882"/>
    <w:rsid w:val="001659E6"/>
    <w:rsid w:val="0018274C"/>
    <w:rsid w:val="001A2E3F"/>
    <w:rsid w:val="001A7B9D"/>
    <w:rsid w:val="001C66E0"/>
    <w:rsid w:val="00253727"/>
    <w:rsid w:val="002653A9"/>
    <w:rsid w:val="00286930"/>
    <w:rsid w:val="00290680"/>
    <w:rsid w:val="002A5A83"/>
    <w:rsid w:val="002C1E32"/>
    <w:rsid w:val="002E0616"/>
    <w:rsid w:val="002E2850"/>
    <w:rsid w:val="002F3307"/>
    <w:rsid w:val="002F78A3"/>
    <w:rsid w:val="00325D7B"/>
    <w:rsid w:val="003965AF"/>
    <w:rsid w:val="003B5FD8"/>
    <w:rsid w:val="003B643A"/>
    <w:rsid w:val="003C6A6E"/>
    <w:rsid w:val="003E0A8C"/>
    <w:rsid w:val="00415BB6"/>
    <w:rsid w:val="00425A1B"/>
    <w:rsid w:val="00466F51"/>
    <w:rsid w:val="00471752"/>
    <w:rsid w:val="004928B1"/>
    <w:rsid w:val="004932B8"/>
    <w:rsid w:val="004B3CDE"/>
    <w:rsid w:val="004B73EE"/>
    <w:rsid w:val="004F3969"/>
    <w:rsid w:val="004F40E6"/>
    <w:rsid w:val="004F6AC4"/>
    <w:rsid w:val="00504800"/>
    <w:rsid w:val="0051080A"/>
    <w:rsid w:val="00512041"/>
    <w:rsid w:val="00525B39"/>
    <w:rsid w:val="00533748"/>
    <w:rsid w:val="005574FC"/>
    <w:rsid w:val="005713F4"/>
    <w:rsid w:val="00583EFB"/>
    <w:rsid w:val="0059625F"/>
    <w:rsid w:val="005B1C62"/>
    <w:rsid w:val="00613403"/>
    <w:rsid w:val="006210E3"/>
    <w:rsid w:val="006434DD"/>
    <w:rsid w:val="00667DA2"/>
    <w:rsid w:val="006C7C35"/>
    <w:rsid w:val="006E64AB"/>
    <w:rsid w:val="00705759"/>
    <w:rsid w:val="00716115"/>
    <w:rsid w:val="00735323"/>
    <w:rsid w:val="007442CA"/>
    <w:rsid w:val="00754581"/>
    <w:rsid w:val="00761619"/>
    <w:rsid w:val="00774C23"/>
    <w:rsid w:val="00791A56"/>
    <w:rsid w:val="007A202E"/>
    <w:rsid w:val="007A6CC4"/>
    <w:rsid w:val="007B0CB1"/>
    <w:rsid w:val="007C7914"/>
    <w:rsid w:val="007F0E50"/>
    <w:rsid w:val="007F3EE9"/>
    <w:rsid w:val="00814A37"/>
    <w:rsid w:val="00836237"/>
    <w:rsid w:val="00863B59"/>
    <w:rsid w:val="00874924"/>
    <w:rsid w:val="00893649"/>
    <w:rsid w:val="008E6310"/>
    <w:rsid w:val="00915094"/>
    <w:rsid w:val="00964996"/>
    <w:rsid w:val="00973EB7"/>
    <w:rsid w:val="00973FB8"/>
    <w:rsid w:val="00997566"/>
    <w:rsid w:val="009B042C"/>
    <w:rsid w:val="009C4DDB"/>
    <w:rsid w:val="009E5082"/>
    <w:rsid w:val="009F4E4E"/>
    <w:rsid w:val="009F7B99"/>
    <w:rsid w:val="00A068DD"/>
    <w:rsid w:val="00A234A7"/>
    <w:rsid w:val="00A3033D"/>
    <w:rsid w:val="00A40B8D"/>
    <w:rsid w:val="00A4248A"/>
    <w:rsid w:val="00A9162D"/>
    <w:rsid w:val="00AB5864"/>
    <w:rsid w:val="00AE1115"/>
    <w:rsid w:val="00AF0DA2"/>
    <w:rsid w:val="00B01B3C"/>
    <w:rsid w:val="00B56F3C"/>
    <w:rsid w:val="00B75F51"/>
    <w:rsid w:val="00BA3BC5"/>
    <w:rsid w:val="00BA648B"/>
    <w:rsid w:val="00BB264F"/>
    <w:rsid w:val="00BB7F7D"/>
    <w:rsid w:val="00BC6F77"/>
    <w:rsid w:val="00C213BE"/>
    <w:rsid w:val="00C27C86"/>
    <w:rsid w:val="00C3426A"/>
    <w:rsid w:val="00C34DAD"/>
    <w:rsid w:val="00C34DB1"/>
    <w:rsid w:val="00C54CB9"/>
    <w:rsid w:val="00C62199"/>
    <w:rsid w:val="00C71234"/>
    <w:rsid w:val="00C83ACC"/>
    <w:rsid w:val="00C85F20"/>
    <w:rsid w:val="00C86B9A"/>
    <w:rsid w:val="00C9568B"/>
    <w:rsid w:val="00CA7384"/>
    <w:rsid w:val="00CB15D2"/>
    <w:rsid w:val="00CB71AE"/>
    <w:rsid w:val="00CC12B7"/>
    <w:rsid w:val="00CD6E15"/>
    <w:rsid w:val="00CF163F"/>
    <w:rsid w:val="00CF4094"/>
    <w:rsid w:val="00D129B0"/>
    <w:rsid w:val="00D372B6"/>
    <w:rsid w:val="00D52E02"/>
    <w:rsid w:val="00DC1157"/>
    <w:rsid w:val="00DC7C1D"/>
    <w:rsid w:val="00DE2461"/>
    <w:rsid w:val="00E067B0"/>
    <w:rsid w:val="00E2086A"/>
    <w:rsid w:val="00E50935"/>
    <w:rsid w:val="00E6284A"/>
    <w:rsid w:val="00E96C73"/>
    <w:rsid w:val="00EE6DBB"/>
    <w:rsid w:val="00F0588D"/>
    <w:rsid w:val="00F16868"/>
    <w:rsid w:val="00F4197D"/>
    <w:rsid w:val="00F43DE7"/>
    <w:rsid w:val="00F52A8D"/>
    <w:rsid w:val="00FA1044"/>
    <w:rsid w:val="00FB3310"/>
    <w:rsid w:val="00FD2626"/>
    <w:rsid w:val="00FE52CB"/>
    <w:rsid w:val="01082DCE"/>
    <w:rsid w:val="01160F4F"/>
    <w:rsid w:val="01196377"/>
    <w:rsid w:val="011A27E6"/>
    <w:rsid w:val="011B4B0A"/>
    <w:rsid w:val="011D6ED0"/>
    <w:rsid w:val="013C7065"/>
    <w:rsid w:val="014C4DA3"/>
    <w:rsid w:val="014D28C9"/>
    <w:rsid w:val="014D641B"/>
    <w:rsid w:val="01505F15"/>
    <w:rsid w:val="01527EDF"/>
    <w:rsid w:val="01604B65"/>
    <w:rsid w:val="01631629"/>
    <w:rsid w:val="0167398B"/>
    <w:rsid w:val="01695955"/>
    <w:rsid w:val="016A3995"/>
    <w:rsid w:val="01767A67"/>
    <w:rsid w:val="018B2605"/>
    <w:rsid w:val="01921C28"/>
    <w:rsid w:val="019312E0"/>
    <w:rsid w:val="0195715E"/>
    <w:rsid w:val="019D2FC7"/>
    <w:rsid w:val="019E058F"/>
    <w:rsid w:val="01A85EE1"/>
    <w:rsid w:val="01AF5332"/>
    <w:rsid w:val="01B82FCB"/>
    <w:rsid w:val="01B96D88"/>
    <w:rsid w:val="01BC5540"/>
    <w:rsid w:val="01E0424C"/>
    <w:rsid w:val="01E22FC9"/>
    <w:rsid w:val="01ED4448"/>
    <w:rsid w:val="01F114A6"/>
    <w:rsid w:val="01F176F8"/>
    <w:rsid w:val="02047B14"/>
    <w:rsid w:val="020F339C"/>
    <w:rsid w:val="02194B27"/>
    <w:rsid w:val="021A334D"/>
    <w:rsid w:val="02241CA7"/>
    <w:rsid w:val="022C0382"/>
    <w:rsid w:val="022D7E5C"/>
    <w:rsid w:val="022E44A8"/>
    <w:rsid w:val="023615AF"/>
    <w:rsid w:val="023D43E8"/>
    <w:rsid w:val="02443CCC"/>
    <w:rsid w:val="02454DC6"/>
    <w:rsid w:val="02460711"/>
    <w:rsid w:val="024B086A"/>
    <w:rsid w:val="024C3FDE"/>
    <w:rsid w:val="024F3AFA"/>
    <w:rsid w:val="02571C51"/>
    <w:rsid w:val="025C2FF3"/>
    <w:rsid w:val="0260580C"/>
    <w:rsid w:val="02647ECA"/>
    <w:rsid w:val="026F50F7"/>
    <w:rsid w:val="028B7344"/>
    <w:rsid w:val="0292228F"/>
    <w:rsid w:val="029A7D90"/>
    <w:rsid w:val="029C3B08"/>
    <w:rsid w:val="029C5E0B"/>
    <w:rsid w:val="029D3473"/>
    <w:rsid w:val="02A843B9"/>
    <w:rsid w:val="02AD361F"/>
    <w:rsid w:val="02AF018D"/>
    <w:rsid w:val="02B17534"/>
    <w:rsid w:val="02C148EA"/>
    <w:rsid w:val="02C848FD"/>
    <w:rsid w:val="02CD1F13"/>
    <w:rsid w:val="02E1776D"/>
    <w:rsid w:val="02E56A6C"/>
    <w:rsid w:val="02EA4200"/>
    <w:rsid w:val="02F11F86"/>
    <w:rsid w:val="0305345B"/>
    <w:rsid w:val="03101E00"/>
    <w:rsid w:val="031402A0"/>
    <w:rsid w:val="031C07A5"/>
    <w:rsid w:val="033D7E54"/>
    <w:rsid w:val="0341020B"/>
    <w:rsid w:val="03530EF0"/>
    <w:rsid w:val="03666726"/>
    <w:rsid w:val="036A59B4"/>
    <w:rsid w:val="036A6013"/>
    <w:rsid w:val="036B0042"/>
    <w:rsid w:val="036B6FAE"/>
    <w:rsid w:val="0374238F"/>
    <w:rsid w:val="037C6AE8"/>
    <w:rsid w:val="037E320E"/>
    <w:rsid w:val="0380325E"/>
    <w:rsid w:val="03824AAC"/>
    <w:rsid w:val="038720C2"/>
    <w:rsid w:val="03921536"/>
    <w:rsid w:val="03957CCA"/>
    <w:rsid w:val="03B50F2A"/>
    <w:rsid w:val="03B804CE"/>
    <w:rsid w:val="03B95FF4"/>
    <w:rsid w:val="03BA168E"/>
    <w:rsid w:val="03C45C0E"/>
    <w:rsid w:val="03D22144"/>
    <w:rsid w:val="03DE6BBF"/>
    <w:rsid w:val="03EA0F31"/>
    <w:rsid w:val="03EC548F"/>
    <w:rsid w:val="03F4702C"/>
    <w:rsid w:val="03FB6B06"/>
    <w:rsid w:val="040A684F"/>
    <w:rsid w:val="040C6A6B"/>
    <w:rsid w:val="04233E93"/>
    <w:rsid w:val="04295DA0"/>
    <w:rsid w:val="042C7AD9"/>
    <w:rsid w:val="043164D2"/>
    <w:rsid w:val="04352FAD"/>
    <w:rsid w:val="0439572B"/>
    <w:rsid w:val="04446205"/>
    <w:rsid w:val="044C6E68"/>
    <w:rsid w:val="04533F12"/>
    <w:rsid w:val="04563758"/>
    <w:rsid w:val="045B587A"/>
    <w:rsid w:val="045D68FB"/>
    <w:rsid w:val="046B7205"/>
    <w:rsid w:val="046C4778"/>
    <w:rsid w:val="047B3AB4"/>
    <w:rsid w:val="047C0CFA"/>
    <w:rsid w:val="047C234D"/>
    <w:rsid w:val="048328A9"/>
    <w:rsid w:val="04835B52"/>
    <w:rsid w:val="04846602"/>
    <w:rsid w:val="0485402B"/>
    <w:rsid w:val="048760F2"/>
    <w:rsid w:val="048B5BE2"/>
    <w:rsid w:val="049F51EA"/>
    <w:rsid w:val="04A52713"/>
    <w:rsid w:val="04A61CAB"/>
    <w:rsid w:val="04B2316F"/>
    <w:rsid w:val="04B66E9B"/>
    <w:rsid w:val="04BA6DB9"/>
    <w:rsid w:val="04BF0077"/>
    <w:rsid w:val="04C83E25"/>
    <w:rsid w:val="04D23811"/>
    <w:rsid w:val="04D66AC8"/>
    <w:rsid w:val="04DF02F5"/>
    <w:rsid w:val="04EA65EC"/>
    <w:rsid w:val="04EB042F"/>
    <w:rsid w:val="04F54297"/>
    <w:rsid w:val="04F76AAC"/>
    <w:rsid w:val="04F95D73"/>
    <w:rsid w:val="050022AA"/>
    <w:rsid w:val="05162632"/>
    <w:rsid w:val="051B5F64"/>
    <w:rsid w:val="05291032"/>
    <w:rsid w:val="053242B0"/>
    <w:rsid w:val="053C512E"/>
    <w:rsid w:val="05474D67"/>
    <w:rsid w:val="05502988"/>
    <w:rsid w:val="05665D07"/>
    <w:rsid w:val="056A63C2"/>
    <w:rsid w:val="056F79F9"/>
    <w:rsid w:val="057351EA"/>
    <w:rsid w:val="05834B0B"/>
    <w:rsid w:val="059761EF"/>
    <w:rsid w:val="05997E8B"/>
    <w:rsid w:val="059F2433"/>
    <w:rsid w:val="059F74D8"/>
    <w:rsid w:val="05A056BD"/>
    <w:rsid w:val="05A12F8F"/>
    <w:rsid w:val="05AD7DDA"/>
    <w:rsid w:val="05B16949"/>
    <w:rsid w:val="05C23886"/>
    <w:rsid w:val="05C321A6"/>
    <w:rsid w:val="05C614B1"/>
    <w:rsid w:val="05C639C0"/>
    <w:rsid w:val="05CF6D44"/>
    <w:rsid w:val="05CF7D50"/>
    <w:rsid w:val="05D37841"/>
    <w:rsid w:val="05E41A4E"/>
    <w:rsid w:val="05EC3DBF"/>
    <w:rsid w:val="05ED7736"/>
    <w:rsid w:val="05F90297"/>
    <w:rsid w:val="05FB0B46"/>
    <w:rsid w:val="060A0D89"/>
    <w:rsid w:val="060C39DD"/>
    <w:rsid w:val="060C4B01"/>
    <w:rsid w:val="061006D5"/>
    <w:rsid w:val="061077DD"/>
    <w:rsid w:val="06227012"/>
    <w:rsid w:val="06291D77"/>
    <w:rsid w:val="062929E2"/>
    <w:rsid w:val="063727C5"/>
    <w:rsid w:val="06382629"/>
    <w:rsid w:val="06437F74"/>
    <w:rsid w:val="064B1FD0"/>
    <w:rsid w:val="064E04BB"/>
    <w:rsid w:val="06510831"/>
    <w:rsid w:val="0655574A"/>
    <w:rsid w:val="065F7326"/>
    <w:rsid w:val="066756C3"/>
    <w:rsid w:val="06695AAF"/>
    <w:rsid w:val="066A7A79"/>
    <w:rsid w:val="066E7995"/>
    <w:rsid w:val="06710D3B"/>
    <w:rsid w:val="0671119D"/>
    <w:rsid w:val="06764670"/>
    <w:rsid w:val="067B57E2"/>
    <w:rsid w:val="068648B3"/>
    <w:rsid w:val="06872812"/>
    <w:rsid w:val="068C07A0"/>
    <w:rsid w:val="0697042D"/>
    <w:rsid w:val="069A3EBB"/>
    <w:rsid w:val="069C2279"/>
    <w:rsid w:val="06A74829"/>
    <w:rsid w:val="06A967F3"/>
    <w:rsid w:val="06B200ED"/>
    <w:rsid w:val="06B331CE"/>
    <w:rsid w:val="06BC02D5"/>
    <w:rsid w:val="06C07699"/>
    <w:rsid w:val="06C62F02"/>
    <w:rsid w:val="06C75E0F"/>
    <w:rsid w:val="06CD2659"/>
    <w:rsid w:val="06D9617D"/>
    <w:rsid w:val="06E209B7"/>
    <w:rsid w:val="06EE5449"/>
    <w:rsid w:val="06F37A6F"/>
    <w:rsid w:val="06F72E1C"/>
    <w:rsid w:val="0708176C"/>
    <w:rsid w:val="07140111"/>
    <w:rsid w:val="071D3AEF"/>
    <w:rsid w:val="071F775B"/>
    <w:rsid w:val="0725414F"/>
    <w:rsid w:val="072827C5"/>
    <w:rsid w:val="072B0FB7"/>
    <w:rsid w:val="073913A4"/>
    <w:rsid w:val="073E4D0F"/>
    <w:rsid w:val="07600D66"/>
    <w:rsid w:val="078B5EF9"/>
    <w:rsid w:val="07914D92"/>
    <w:rsid w:val="07BB058C"/>
    <w:rsid w:val="07C75183"/>
    <w:rsid w:val="07C93DD2"/>
    <w:rsid w:val="07CA6288"/>
    <w:rsid w:val="07E62D4D"/>
    <w:rsid w:val="07F10BD9"/>
    <w:rsid w:val="07F33261"/>
    <w:rsid w:val="07FB3039"/>
    <w:rsid w:val="07FB307F"/>
    <w:rsid w:val="07FC2047"/>
    <w:rsid w:val="080041F1"/>
    <w:rsid w:val="08086333"/>
    <w:rsid w:val="080A4F8B"/>
    <w:rsid w:val="081D2278"/>
    <w:rsid w:val="081D312D"/>
    <w:rsid w:val="08290DFC"/>
    <w:rsid w:val="082D031A"/>
    <w:rsid w:val="082F2D28"/>
    <w:rsid w:val="083227D0"/>
    <w:rsid w:val="0833790B"/>
    <w:rsid w:val="083E61F6"/>
    <w:rsid w:val="08400A92"/>
    <w:rsid w:val="08441F41"/>
    <w:rsid w:val="08564759"/>
    <w:rsid w:val="08670714"/>
    <w:rsid w:val="0871359F"/>
    <w:rsid w:val="08762289"/>
    <w:rsid w:val="087D5842"/>
    <w:rsid w:val="0889068B"/>
    <w:rsid w:val="088909C5"/>
    <w:rsid w:val="0898267C"/>
    <w:rsid w:val="08A45B58"/>
    <w:rsid w:val="08A75E9F"/>
    <w:rsid w:val="08AC6127"/>
    <w:rsid w:val="08B51EFD"/>
    <w:rsid w:val="08BE1473"/>
    <w:rsid w:val="08C02B9C"/>
    <w:rsid w:val="08C520FD"/>
    <w:rsid w:val="08C644EB"/>
    <w:rsid w:val="08CB31B1"/>
    <w:rsid w:val="08CC4A1B"/>
    <w:rsid w:val="08D40922"/>
    <w:rsid w:val="08DE0702"/>
    <w:rsid w:val="08E04B71"/>
    <w:rsid w:val="08E36B16"/>
    <w:rsid w:val="08EB2A28"/>
    <w:rsid w:val="08ED6E6B"/>
    <w:rsid w:val="08FE27C4"/>
    <w:rsid w:val="09033D88"/>
    <w:rsid w:val="09067F2D"/>
    <w:rsid w:val="090E293E"/>
    <w:rsid w:val="091033C7"/>
    <w:rsid w:val="091268D2"/>
    <w:rsid w:val="091C4F8C"/>
    <w:rsid w:val="092454AE"/>
    <w:rsid w:val="092735E5"/>
    <w:rsid w:val="094350D2"/>
    <w:rsid w:val="09475E50"/>
    <w:rsid w:val="09520EC1"/>
    <w:rsid w:val="09522E65"/>
    <w:rsid w:val="09523172"/>
    <w:rsid w:val="095602DC"/>
    <w:rsid w:val="096126C2"/>
    <w:rsid w:val="09644C54"/>
    <w:rsid w:val="097053A7"/>
    <w:rsid w:val="09904735"/>
    <w:rsid w:val="099472E7"/>
    <w:rsid w:val="09A1577F"/>
    <w:rsid w:val="09A50EDF"/>
    <w:rsid w:val="09B1743D"/>
    <w:rsid w:val="09B96D4E"/>
    <w:rsid w:val="09BF3C5F"/>
    <w:rsid w:val="09C75908"/>
    <w:rsid w:val="09E6203D"/>
    <w:rsid w:val="09E900F9"/>
    <w:rsid w:val="09EC3543"/>
    <w:rsid w:val="09EF453B"/>
    <w:rsid w:val="09EF6C13"/>
    <w:rsid w:val="09F61C94"/>
    <w:rsid w:val="0A017749"/>
    <w:rsid w:val="0A0D52EB"/>
    <w:rsid w:val="0A0E7BE2"/>
    <w:rsid w:val="0A1771EC"/>
    <w:rsid w:val="0A252635"/>
    <w:rsid w:val="0A2C751F"/>
    <w:rsid w:val="0A31325F"/>
    <w:rsid w:val="0A433EA3"/>
    <w:rsid w:val="0A4707FD"/>
    <w:rsid w:val="0A4C0A53"/>
    <w:rsid w:val="0A4F3F9C"/>
    <w:rsid w:val="0A546A76"/>
    <w:rsid w:val="0A562E5C"/>
    <w:rsid w:val="0A5847B8"/>
    <w:rsid w:val="0A595E3B"/>
    <w:rsid w:val="0A6D4428"/>
    <w:rsid w:val="0A70103F"/>
    <w:rsid w:val="0A71561D"/>
    <w:rsid w:val="0A7315F2"/>
    <w:rsid w:val="0A830A8F"/>
    <w:rsid w:val="0A913826"/>
    <w:rsid w:val="0AA3355A"/>
    <w:rsid w:val="0ACE2BAA"/>
    <w:rsid w:val="0AD025A1"/>
    <w:rsid w:val="0AD6392F"/>
    <w:rsid w:val="0ADB488F"/>
    <w:rsid w:val="0ADF4740"/>
    <w:rsid w:val="0AEF054D"/>
    <w:rsid w:val="0AF404CA"/>
    <w:rsid w:val="0AF56650"/>
    <w:rsid w:val="0AF73FD1"/>
    <w:rsid w:val="0B024724"/>
    <w:rsid w:val="0B094DFD"/>
    <w:rsid w:val="0B1D155E"/>
    <w:rsid w:val="0B237F0C"/>
    <w:rsid w:val="0B25655D"/>
    <w:rsid w:val="0B291CB1"/>
    <w:rsid w:val="0B310B66"/>
    <w:rsid w:val="0B3B41A4"/>
    <w:rsid w:val="0B3C7C36"/>
    <w:rsid w:val="0B466158"/>
    <w:rsid w:val="0B4F3474"/>
    <w:rsid w:val="0B512FB6"/>
    <w:rsid w:val="0B5E5DFE"/>
    <w:rsid w:val="0B7078E0"/>
    <w:rsid w:val="0B765704"/>
    <w:rsid w:val="0B7B05A2"/>
    <w:rsid w:val="0B7D0BA2"/>
    <w:rsid w:val="0B7F5D75"/>
    <w:rsid w:val="0B831417"/>
    <w:rsid w:val="0B860EB1"/>
    <w:rsid w:val="0B955598"/>
    <w:rsid w:val="0B976282"/>
    <w:rsid w:val="0B9E444D"/>
    <w:rsid w:val="0BAA0921"/>
    <w:rsid w:val="0BAA1044"/>
    <w:rsid w:val="0BAB4B61"/>
    <w:rsid w:val="0BB811D3"/>
    <w:rsid w:val="0BB87E33"/>
    <w:rsid w:val="0BBE3C8E"/>
    <w:rsid w:val="0BC55E7E"/>
    <w:rsid w:val="0BCB33BD"/>
    <w:rsid w:val="0BD065D0"/>
    <w:rsid w:val="0BD25B76"/>
    <w:rsid w:val="0BD75140"/>
    <w:rsid w:val="0BD821CA"/>
    <w:rsid w:val="0BE00F68"/>
    <w:rsid w:val="0BF240CE"/>
    <w:rsid w:val="0BFC1173"/>
    <w:rsid w:val="0C01678A"/>
    <w:rsid w:val="0C087B18"/>
    <w:rsid w:val="0C0A4650"/>
    <w:rsid w:val="0C122E87"/>
    <w:rsid w:val="0C142061"/>
    <w:rsid w:val="0C224500"/>
    <w:rsid w:val="0C25115F"/>
    <w:rsid w:val="0C2D2758"/>
    <w:rsid w:val="0C30164C"/>
    <w:rsid w:val="0C360F3C"/>
    <w:rsid w:val="0C3923C8"/>
    <w:rsid w:val="0C406465"/>
    <w:rsid w:val="0C4909C1"/>
    <w:rsid w:val="0C4A1EDF"/>
    <w:rsid w:val="0C523489"/>
    <w:rsid w:val="0C54553C"/>
    <w:rsid w:val="0C6153DA"/>
    <w:rsid w:val="0C62366D"/>
    <w:rsid w:val="0C680BDD"/>
    <w:rsid w:val="0C715D36"/>
    <w:rsid w:val="0C72723E"/>
    <w:rsid w:val="0C7B478E"/>
    <w:rsid w:val="0C8830F0"/>
    <w:rsid w:val="0C8F023A"/>
    <w:rsid w:val="0C915D6B"/>
    <w:rsid w:val="0C9F0011"/>
    <w:rsid w:val="0CA8035A"/>
    <w:rsid w:val="0CAD361F"/>
    <w:rsid w:val="0CAD70A0"/>
    <w:rsid w:val="0CB3217A"/>
    <w:rsid w:val="0CB8153E"/>
    <w:rsid w:val="0CBB4686"/>
    <w:rsid w:val="0CC51EAD"/>
    <w:rsid w:val="0CCA7A68"/>
    <w:rsid w:val="0CCF0636"/>
    <w:rsid w:val="0CD844E4"/>
    <w:rsid w:val="0CE45ABA"/>
    <w:rsid w:val="0CE55D2A"/>
    <w:rsid w:val="0CE75FBA"/>
    <w:rsid w:val="0CE82126"/>
    <w:rsid w:val="0CEA1161"/>
    <w:rsid w:val="0D0E1A16"/>
    <w:rsid w:val="0D10611A"/>
    <w:rsid w:val="0D140E7B"/>
    <w:rsid w:val="0D200E92"/>
    <w:rsid w:val="0D204464"/>
    <w:rsid w:val="0D245D5D"/>
    <w:rsid w:val="0D2A5D78"/>
    <w:rsid w:val="0D363AEC"/>
    <w:rsid w:val="0D366907"/>
    <w:rsid w:val="0D412D22"/>
    <w:rsid w:val="0D443654"/>
    <w:rsid w:val="0D5661E5"/>
    <w:rsid w:val="0D643C93"/>
    <w:rsid w:val="0D6B4803"/>
    <w:rsid w:val="0D6B65B1"/>
    <w:rsid w:val="0D7C256C"/>
    <w:rsid w:val="0D840310"/>
    <w:rsid w:val="0D847672"/>
    <w:rsid w:val="0D935001"/>
    <w:rsid w:val="0D976429"/>
    <w:rsid w:val="0D9773A6"/>
    <w:rsid w:val="0DA32043"/>
    <w:rsid w:val="0DA75F7E"/>
    <w:rsid w:val="0DB5797F"/>
    <w:rsid w:val="0DC65EDD"/>
    <w:rsid w:val="0DCD2DC7"/>
    <w:rsid w:val="0DCE19B4"/>
    <w:rsid w:val="0DCE5CD0"/>
    <w:rsid w:val="0DD17B12"/>
    <w:rsid w:val="0E05778A"/>
    <w:rsid w:val="0E0E108A"/>
    <w:rsid w:val="0E0F1632"/>
    <w:rsid w:val="0E14052A"/>
    <w:rsid w:val="0E1B588D"/>
    <w:rsid w:val="0E241667"/>
    <w:rsid w:val="0E247BA0"/>
    <w:rsid w:val="0E265F28"/>
    <w:rsid w:val="0E2826F4"/>
    <w:rsid w:val="0E2873E9"/>
    <w:rsid w:val="0E2A2737"/>
    <w:rsid w:val="0E370D11"/>
    <w:rsid w:val="0E394F38"/>
    <w:rsid w:val="0E4D215A"/>
    <w:rsid w:val="0E511C4A"/>
    <w:rsid w:val="0E552DBD"/>
    <w:rsid w:val="0E611573"/>
    <w:rsid w:val="0E634231"/>
    <w:rsid w:val="0E6354DA"/>
    <w:rsid w:val="0E744B2D"/>
    <w:rsid w:val="0E772D33"/>
    <w:rsid w:val="0E8D05E0"/>
    <w:rsid w:val="0E8F62CF"/>
    <w:rsid w:val="0E925DBF"/>
    <w:rsid w:val="0E9A3A5A"/>
    <w:rsid w:val="0E9B3C63"/>
    <w:rsid w:val="0EB4636E"/>
    <w:rsid w:val="0EB6385C"/>
    <w:rsid w:val="0EB7277D"/>
    <w:rsid w:val="0EB75DCA"/>
    <w:rsid w:val="0EC341CA"/>
    <w:rsid w:val="0EC344CB"/>
    <w:rsid w:val="0EC81177"/>
    <w:rsid w:val="0ECA37AB"/>
    <w:rsid w:val="0ED12EB4"/>
    <w:rsid w:val="0ED16605"/>
    <w:rsid w:val="0ED65E64"/>
    <w:rsid w:val="0ED97B37"/>
    <w:rsid w:val="0EE3071C"/>
    <w:rsid w:val="0EED2DF2"/>
    <w:rsid w:val="0EEF0E55"/>
    <w:rsid w:val="0EF83DB8"/>
    <w:rsid w:val="0EFB3964"/>
    <w:rsid w:val="0F045EB9"/>
    <w:rsid w:val="0F0A004B"/>
    <w:rsid w:val="0F0C5B71"/>
    <w:rsid w:val="0F2509E1"/>
    <w:rsid w:val="0F2E5AE8"/>
    <w:rsid w:val="0F401FA4"/>
    <w:rsid w:val="0F457489"/>
    <w:rsid w:val="0F474DFC"/>
    <w:rsid w:val="0F4A0448"/>
    <w:rsid w:val="0F4B48EC"/>
    <w:rsid w:val="0F4E3C61"/>
    <w:rsid w:val="0F4F57E8"/>
    <w:rsid w:val="0F566DED"/>
    <w:rsid w:val="0F571567"/>
    <w:rsid w:val="0F5C4252"/>
    <w:rsid w:val="0F6C3B60"/>
    <w:rsid w:val="0F6F6315"/>
    <w:rsid w:val="0F7150A0"/>
    <w:rsid w:val="0F75501B"/>
    <w:rsid w:val="0F7A0D2D"/>
    <w:rsid w:val="0F7A125F"/>
    <w:rsid w:val="0F865924"/>
    <w:rsid w:val="0F9718DF"/>
    <w:rsid w:val="0FA67D74"/>
    <w:rsid w:val="0FAE3078"/>
    <w:rsid w:val="0FB81B5B"/>
    <w:rsid w:val="0FCD0ED8"/>
    <w:rsid w:val="0FD00E8A"/>
    <w:rsid w:val="0FDA7A1E"/>
    <w:rsid w:val="0FE36B30"/>
    <w:rsid w:val="0FE65A61"/>
    <w:rsid w:val="0FFB34EC"/>
    <w:rsid w:val="10090199"/>
    <w:rsid w:val="100B7BD7"/>
    <w:rsid w:val="100D394F"/>
    <w:rsid w:val="10337DDD"/>
    <w:rsid w:val="103656D1"/>
    <w:rsid w:val="10394744"/>
    <w:rsid w:val="103C7917"/>
    <w:rsid w:val="10466778"/>
    <w:rsid w:val="10564A8B"/>
    <w:rsid w:val="1058602D"/>
    <w:rsid w:val="106B1E26"/>
    <w:rsid w:val="106F0E5F"/>
    <w:rsid w:val="10795C93"/>
    <w:rsid w:val="107E39A7"/>
    <w:rsid w:val="108B3AFA"/>
    <w:rsid w:val="10961B97"/>
    <w:rsid w:val="10B15280"/>
    <w:rsid w:val="10C23D31"/>
    <w:rsid w:val="10CF164C"/>
    <w:rsid w:val="10D50461"/>
    <w:rsid w:val="10E24CD8"/>
    <w:rsid w:val="10EC7A09"/>
    <w:rsid w:val="10F039A5"/>
    <w:rsid w:val="10F15163"/>
    <w:rsid w:val="10F26CDC"/>
    <w:rsid w:val="10F6397D"/>
    <w:rsid w:val="10F90377"/>
    <w:rsid w:val="110A4333"/>
    <w:rsid w:val="110A60E1"/>
    <w:rsid w:val="11163C77"/>
    <w:rsid w:val="11166833"/>
    <w:rsid w:val="1139732F"/>
    <w:rsid w:val="11401B02"/>
    <w:rsid w:val="11421D1E"/>
    <w:rsid w:val="114809B7"/>
    <w:rsid w:val="114A7510"/>
    <w:rsid w:val="114C67B8"/>
    <w:rsid w:val="11586695"/>
    <w:rsid w:val="115A53BC"/>
    <w:rsid w:val="11696085"/>
    <w:rsid w:val="11785740"/>
    <w:rsid w:val="117A2D8F"/>
    <w:rsid w:val="117B2B3A"/>
    <w:rsid w:val="118E75B9"/>
    <w:rsid w:val="1194155A"/>
    <w:rsid w:val="119B5B08"/>
    <w:rsid w:val="119C1623"/>
    <w:rsid w:val="11A227BD"/>
    <w:rsid w:val="11A6405B"/>
    <w:rsid w:val="11A677FC"/>
    <w:rsid w:val="11AB3509"/>
    <w:rsid w:val="11B5299E"/>
    <w:rsid w:val="11B5604C"/>
    <w:rsid w:val="11E15C82"/>
    <w:rsid w:val="11E42DD6"/>
    <w:rsid w:val="11E52624"/>
    <w:rsid w:val="11E608FC"/>
    <w:rsid w:val="11E8124D"/>
    <w:rsid w:val="11F76665"/>
    <w:rsid w:val="11F9333E"/>
    <w:rsid w:val="11FE31AD"/>
    <w:rsid w:val="121466AA"/>
    <w:rsid w:val="12152F8F"/>
    <w:rsid w:val="122B6577"/>
    <w:rsid w:val="12331667"/>
    <w:rsid w:val="12343761"/>
    <w:rsid w:val="123756D1"/>
    <w:rsid w:val="123A29F6"/>
    <w:rsid w:val="123B7167"/>
    <w:rsid w:val="12466E65"/>
    <w:rsid w:val="124E5F2C"/>
    <w:rsid w:val="12502219"/>
    <w:rsid w:val="125749AF"/>
    <w:rsid w:val="12597E87"/>
    <w:rsid w:val="125B3739"/>
    <w:rsid w:val="125F245C"/>
    <w:rsid w:val="126943EE"/>
    <w:rsid w:val="127F665A"/>
    <w:rsid w:val="1283439D"/>
    <w:rsid w:val="12865675"/>
    <w:rsid w:val="129A697A"/>
    <w:rsid w:val="12A01FB2"/>
    <w:rsid w:val="12B5207C"/>
    <w:rsid w:val="12C6189A"/>
    <w:rsid w:val="12C86253"/>
    <w:rsid w:val="12CD7AAB"/>
    <w:rsid w:val="12CE785B"/>
    <w:rsid w:val="12D16BCB"/>
    <w:rsid w:val="12DC2AAB"/>
    <w:rsid w:val="12E74E3F"/>
    <w:rsid w:val="12EC0194"/>
    <w:rsid w:val="12ED7F8F"/>
    <w:rsid w:val="12F04674"/>
    <w:rsid w:val="12F82DC0"/>
    <w:rsid w:val="12FE1AE7"/>
    <w:rsid w:val="130F79DE"/>
    <w:rsid w:val="13190BA4"/>
    <w:rsid w:val="13207E3D"/>
    <w:rsid w:val="1323348A"/>
    <w:rsid w:val="13293F8A"/>
    <w:rsid w:val="132A5815"/>
    <w:rsid w:val="132E255A"/>
    <w:rsid w:val="13356A71"/>
    <w:rsid w:val="134854F2"/>
    <w:rsid w:val="13594F2D"/>
    <w:rsid w:val="13625BC3"/>
    <w:rsid w:val="13714DE1"/>
    <w:rsid w:val="139F5206"/>
    <w:rsid w:val="13A70B15"/>
    <w:rsid w:val="13AC1380"/>
    <w:rsid w:val="13B72E13"/>
    <w:rsid w:val="13B81E24"/>
    <w:rsid w:val="13B871BD"/>
    <w:rsid w:val="13BA32C6"/>
    <w:rsid w:val="13C54541"/>
    <w:rsid w:val="13CB5FFB"/>
    <w:rsid w:val="13CC04B5"/>
    <w:rsid w:val="13DD7927"/>
    <w:rsid w:val="13DE4A24"/>
    <w:rsid w:val="13F53078"/>
    <w:rsid w:val="13F56BD4"/>
    <w:rsid w:val="13FA0089"/>
    <w:rsid w:val="13FA068E"/>
    <w:rsid w:val="13FD3CDB"/>
    <w:rsid w:val="14003B68"/>
    <w:rsid w:val="14077165"/>
    <w:rsid w:val="140A4876"/>
    <w:rsid w:val="140C03C2"/>
    <w:rsid w:val="1418439F"/>
    <w:rsid w:val="141F1EA3"/>
    <w:rsid w:val="141F2E4E"/>
    <w:rsid w:val="14231FAC"/>
    <w:rsid w:val="14264818"/>
    <w:rsid w:val="145378D4"/>
    <w:rsid w:val="1463315F"/>
    <w:rsid w:val="14641FAC"/>
    <w:rsid w:val="14664519"/>
    <w:rsid w:val="146F09C5"/>
    <w:rsid w:val="147441B4"/>
    <w:rsid w:val="14745B8C"/>
    <w:rsid w:val="147E306D"/>
    <w:rsid w:val="14830684"/>
    <w:rsid w:val="14832530"/>
    <w:rsid w:val="148E0A9C"/>
    <w:rsid w:val="148E0DD7"/>
    <w:rsid w:val="14936D19"/>
    <w:rsid w:val="14B00F8C"/>
    <w:rsid w:val="14D40EDF"/>
    <w:rsid w:val="14D507B4"/>
    <w:rsid w:val="14D709D0"/>
    <w:rsid w:val="14DF5CAE"/>
    <w:rsid w:val="14F33B67"/>
    <w:rsid w:val="14FE5E91"/>
    <w:rsid w:val="14FE5F5C"/>
    <w:rsid w:val="15086DDB"/>
    <w:rsid w:val="150D1A0B"/>
    <w:rsid w:val="150F1F18"/>
    <w:rsid w:val="151412DC"/>
    <w:rsid w:val="151E62FD"/>
    <w:rsid w:val="151F03B5"/>
    <w:rsid w:val="152534E9"/>
    <w:rsid w:val="152D239E"/>
    <w:rsid w:val="153100E0"/>
    <w:rsid w:val="153A65BE"/>
    <w:rsid w:val="153D1B4F"/>
    <w:rsid w:val="15422B45"/>
    <w:rsid w:val="154A2F50"/>
    <w:rsid w:val="154D74EE"/>
    <w:rsid w:val="15657D89"/>
    <w:rsid w:val="156629A4"/>
    <w:rsid w:val="156A38D6"/>
    <w:rsid w:val="156A53A0"/>
    <w:rsid w:val="15791A87"/>
    <w:rsid w:val="15802E15"/>
    <w:rsid w:val="15806971"/>
    <w:rsid w:val="1584295D"/>
    <w:rsid w:val="158735B1"/>
    <w:rsid w:val="15895244"/>
    <w:rsid w:val="15897F1C"/>
    <w:rsid w:val="159E013D"/>
    <w:rsid w:val="15B4486D"/>
    <w:rsid w:val="15BA0961"/>
    <w:rsid w:val="15BC6BCB"/>
    <w:rsid w:val="15C26F8A"/>
    <w:rsid w:val="15C41B5B"/>
    <w:rsid w:val="15D32868"/>
    <w:rsid w:val="15EE1192"/>
    <w:rsid w:val="15F66C34"/>
    <w:rsid w:val="15FD0081"/>
    <w:rsid w:val="161713B9"/>
    <w:rsid w:val="161F618A"/>
    <w:rsid w:val="162117F2"/>
    <w:rsid w:val="162304BC"/>
    <w:rsid w:val="162836F0"/>
    <w:rsid w:val="162922DA"/>
    <w:rsid w:val="162C01A9"/>
    <w:rsid w:val="16377978"/>
    <w:rsid w:val="163D38BD"/>
    <w:rsid w:val="164432FC"/>
    <w:rsid w:val="164A7ADC"/>
    <w:rsid w:val="164D719B"/>
    <w:rsid w:val="164E4CC1"/>
    <w:rsid w:val="166867F9"/>
    <w:rsid w:val="166C2BF6"/>
    <w:rsid w:val="16726C02"/>
    <w:rsid w:val="16746A12"/>
    <w:rsid w:val="16763172"/>
    <w:rsid w:val="167A1613"/>
    <w:rsid w:val="167E2633"/>
    <w:rsid w:val="168340B4"/>
    <w:rsid w:val="168431DE"/>
    <w:rsid w:val="168801D3"/>
    <w:rsid w:val="168C763B"/>
    <w:rsid w:val="1690501F"/>
    <w:rsid w:val="16A053E3"/>
    <w:rsid w:val="16A05CD3"/>
    <w:rsid w:val="16A960D9"/>
    <w:rsid w:val="16AD7C3A"/>
    <w:rsid w:val="16B22F9A"/>
    <w:rsid w:val="16CA259A"/>
    <w:rsid w:val="16D147CF"/>
    <w:rsid w:val="16D95C1B"/>
    <w:rsid w:val="16DB2D50"/>
    <w:rsid w:val="16DE5569"/>
    <w:rsid w:val="16E12EBC"/>
    <w:rsid w:val="16E8299C"/>
    <w:rsid w:val="16F40010"/>
    <w:rsid w:val="16FB1042"/>
    <w:rsid w:val="170950EB"/>
    <w:rsid w:val="17096A52"/>
    <w:rsid w:val="170A608F"/>
    <w:rsid w:val="17176EC0"/>
    <w:rsid w:val="171A22E9"/>
    <w:rsid w:val="171B2DF6"/>
    <w:rsid w:val="173165E0"/>
    <w:rsid w:val="173213AE"/>
    <w:rsid w:val="1735048C"/>
    <w:rsid w:val="173C70F5"/>
    <w:rsid w:val="174206F3"/>
    <w:rsid w:val="175E2CE2"/>
    <w:rsid w:val="1761165F"/>
    <w:rsid w:val="176537A5"/>
    <w:rsid w:val="1765414D"/>
    <w:rsid w:val="176B4C2E"/>
    <w:rsid w:val="176C668F"/>
    <w:rsid w:val="177B3894"/>
    <w:rsid w:val="1787048B"/>
    <w:rsid w:val="178C2434"/>
    <w:rsid w:val="178D5376"/>
    <w:rsid w:val="17912DBB"/>
    <w:rsid w:val="179E2BB2"/>
    <w:rsid w:val="179E3A27"/>
    <w:rsid w:val="17A31E57"/>
    <w:rsid w:val="17A41A09"/>
    <w:rsid w:val="17B62B1E"/>
    <w:rsid w:val="17BE7705"/>
    <w:rsid w:val="17DC327B"/>
    <w:rsid w:val="17DE1931"/>
    <w:rsid w:val="17E31374"/>
    <w:rsid w:val="17E43CA4"/>
    <w:rsid w:val="17F83137"/>
    <w:rsid w:val="1803234F"/>
    <w:rsid w:val="180C6BE2"/>
    <w:rsid w:val="18162D91"/>
    <w:rsid w:val="181D2B9D"/>
    <w:rsid w:val="181F7B0D"/>
    <w:rsid w:val="182B19A1"/>
    <w:rsid w:val="18383533"/>
    <w:rsid w:val="183A72AB"/>
    <w:rsid w:val="183F2B14"/>
    <w:rsid w:val="184D7361"/>
    <w:rsid w:val="18581E27"/>
    <w:rsid w:val="18611ADF"/>
    <w:rsid w:val="18660D83"/>
    <w:rsid w:val="18815B69"/>
    <w:rsid w:val="188F0361"/>
    <w:rsid w:val="189746FE"/>
    <w:rsid w:val="18A34D8C"/>
    <w:rsid w:val="18AD0BE1"/>
    <w:rsid w:val="18B619A6"/>
    <w:rsid w:val="18BB43F9"/>
    <w:rsid w:val="18BD2A66"/>
    <w:rsid w:val="18C13AC1"/>
    <w:rsid w:val="18D119EE"/>
    <w:rsid w:val="18E16A7D"/>
    <w:rsid w:val="18F64569"/>
    <w:rsid w:val="18F97167"/>
    <w:rsid w:val="190524A1"/>
    <w:rsid w:val="19090A90"/>
    <w:rsid w:val="190951A4"/>
    <w:rsid w:val="190B6E9A"/>
    <w:rsid w:val="19111C94"/>
    <w:rsid w:val="193809C2"/>
    <w:rsid w:val="19404D95"/>
    <w:rsid w:val="194361A3"/>
    <w:rsid w:val="19476AF1"/>
    <w:rsid w:val="194B373A"/>
    <w:rsid w:val="194C0E6F"/>
    <w:rsid w:val="194E641E"/>
    <w:rsid w:val="19573E8D"/>
    <w:rsid w:val="19651738"/>
    <w:rsid w:val="197D7D98"/>
    <w:rsid w:val="198365E2"/>
    <w:rsid w:val="19856967"/>
    <w:rsid w:val="19976995"/>
    <w:rsid w:val="199B1FCC"/>
    <w:rsid w:val="19A00D60"/>
    <w:rsid w:val="19A35324"/>
    <w:rsid w:val="19A8293B"/>
    <w:rsid w:val="19AF1F1B"/>
    <w:rsid w:val="19B044DF"/>
    <w:rsid w:val="19B17A41"/>
    <w:rsid w:val="19DE010A"/>
    <w:rsid w:val="19F416DC"/>
    <w:rsid w:val="19FA5475"/>
    <w:rsid w:val="19FC6A1D"/>
    <w:rsid w:val="1A110767"/>
    <w:rsid w:val="1A136006"/>
    <w:rsid w:val="1A141D7E"/>
    <w:rsid w:val="1A1964F4"/>
    <w:rsid w:val="1A2166A9"/>
    <w:rsid w:val="1A240213"/>
    <w:rsid w:val="1A277D03"/>
    <w:rsid w:val="1A2F0966"/>
    <w:rsid w:val="1A34170F"/>
    <w:rsid w:val="1A3E4B0B"/>
    <w:rsid w:val="1A45254B"/>
    <w:rsid w:val="1A4638B0"/>
    <w:rsid w:val="1A516B2E"/>
    <w:rsid w:val="1A576AE8"/>
    <w:rsid w:val="1A5D3725"/>
    <w:rsid w:val="1A613F40"/>
    <w:rsid w:val="1A615B3E"/>
    <w:rsid w:val="1A6450AE"/>
    <w:rsid w:val="1A6F3D1D"/>
    <w:rsid w:val="1A742AE7"/>
    <w:rsid w:val="1A7F5449"/>
    <w:rsid w:val="1A8213DE"/>
    <w:rsid w:val="1A851E5E"/>
    <w:rsid w:val="1A8C1C83"/>
    <w:rsid w:val="1A976C37"/>
    <w:rsid w:val="1A976D8E"/>
    <w:rsid w:val="1A9A00BD"/>
    <w:rsid w:val="1A9F3526"/>
    <w:rsid w:val="1AB60854"/>
    <w:rsid w:val="1AB62259"/>
    <w:rsid w:val="1AC27A2C"/>
    <w:rsid w:val="1AC46DBE"/>
    <w:rsid w:val="1ADB5923"/>
    <w:rsid w:val="1ADF24BC"/>
    <w:rsid w:val="1AF23E6D"/>
    <w:rsid w:val="1AFB2F34"/>
    <w:rsid w:val="1B111758"/>
    <w:rsid w:val="1B142E41"/>
    <w:rsid w:val="1B1C4A6C"/>
    <w:rsid w:val="1B1F0131"/>
    <w:rsid w:val="1B2372F3"/>
    <w:rsid w:val="1B256865"/>
    <w:rsid w:val="1B2709C3"/>
    <w:rsid w:val="1B2B737F"/>
    <w:rsid w:val="1B2C2EBB"/>
    <w:rsid w:val="1B300A8F"/>
    <w:rsid w:val="1B3028D7"/>
    <w:rsid w:val="1B344A57"/>
    <w:rsid w:val="1B356450"/>
    <w:rsid w:val="1B364075"/>
    <w:rsid w:val="1B387860"/>
    <w:rsid w:val="1B390477"/>
    <w:rsid w:val="1B5A266B"/>
    <w:rsid w:val="1B662AAD"/>
    <w:rsid w:val="1B66485B"/>
    <w:rsid w:val="1B6F3157"/>
    <w:rsid w:val="1B745152"/>
    <w:rsid w:val="1B763A15"/>
    <w:rsid w:val="1B803B6F"/>
    <w:rsid w:val="1B941FF2"/>
    <w:rsid w:val="1B963D2F"/>
    <w:rsid w:val="1BAD5FE6"/>
    <w:rsid w:val="1BB11F7A"/>
    <w:rsid w:val="1BB91E00"/>
    <w:rsid w:val="1BBD6855"/>
    <w:rsid w:val="1BC0329E"/>
    <w:rsid w:val="1BC863D0"/>
    <w:rsid w:val="1BCB5D17"/>
    <w:rsid w:val="1BCD1019"/>
    <w:rsid w:val="1BDB2B53"/>
    <w:rsid w:val="1BE20386"/>
    <w:rsid w:val="1BE21972"/>
    <w:rsid w:val="1BE51C24"/>
    <w:rsid w:val="1BEF1A51"/>
    <w:rsid w:val="1BF41E67"/>
    <w:rsid w:val="1BF65495"/>
    <w:rsid w:val="1BF6798D"/>
    <w:rsid w:val="1BFD0D1C"/>
    <w:rsid w:val="1C01157A"/>
    <w:rsid w:val="1C085913"/>
    <w:rsid w:val="1C1442B7"/>
    <w:rsid w:val="1C3109C5"/>
    <w:rsid w:val="1C337FF5"/>
    <w:rsid w:val="1C3B4532"/>
    <w:rsid w:val="1C3D4DE6"/>
    <w:rsid w:val="1C3E1334"/>
    <w:rsid w:val="1C3F63C6"/>
    <w:rsid w:val="1C447C24"/>
    <w:rsid w:val="1C495A9B"/>
    <w:rsid w:val="1C4A4F18"/>
    <w:rsid w:val="1C4A5F2B"/>
    <w:rsid w:val="1C4C62F2"/>
    <w:rsid w:val="1C5648D0"/>
    <w:rsid w:val="1C6063BC"/>
    <w:rsid w:val="1C677760"/>
    <w:rsid w:val="1C705992"/>
    <w:rsid w:val="1C716F65"/>
    <w:rsid w:val="1C735482"/>
    <w:rsid w:val="1C766D20"/>
    <w:rsid w:val="1C7D00AF"/>
    <w:rsid w:val="1C8054A9"/>
    <w:rsid w:val="1C8342C9"/>
    <w:rsid w:val="1C835541"/>
    <w:rsid w:val="1C852193"/>
    <w:rsid w:val="1C901B90"/>
    <w:rsid w:val="1CA07EE9"/>
    <w:rsid w:val="1CA63F16"/>
    <w:rsid w:val="1CB63D17"/>
    <w:rsid w:val="1CB73A6D"/>
    <w:rsid w:val="1CBE15B8"/>
    <w:rsid w:val="1CC70AAE"/>
    <w:rsid w:val="1CD31A7D"/>
    <w:rsid w:val="1CD81789"/>
    <w:rsid w:val="1CEE3BD5"/>
    <w:rsid w:val="1CF51133"/>
    <w:rsid w:val="1CF93C71"/>
    <w:rsid w:val="1CF97B60"/>
    <w:rsid w:val="1D030883"/>
    <w:rsid w:val="1D1170D1"/>
    <w:rsid w:val="1D1327C1"/>
    <w:rsid w:val="1D1A3B4F"/>
    <w:rsid w:val="1D1D75F2"/>
    <w:rsid w:val="1D232A04"/>
    <w:rsid w:val="1D2B0B95"/>
    <w:rsid w:val="1D32447F"/>
    <w:rsid w:val="1D34091B"/>
    <w:rsid w:val="1D5039A9"/>
    <w:rsid w:val="1D5232E9"/>
    <w:rsid w:val="1D61177E"/>
    <w:rsid w:val="1D670B14"/>
    <w:rsid w:val="1D6C2CA5"/>
    <w:rsid w:val="1D813BCE"/>
    <w:rsid w:val="1D884F5D"/>
    <w:rsid w:val="1D921347"/>
    <w:rsid w:val="1D922ED1"/>
    <w:rsid w:val="1D924EB5"/>
    <w:rsid w:val="1D994A74"/>
    <w:rsid w:val="1D9F65B1"/>
    <w:rsid w:val="1DA002EB"/>
    <w:rsid w:val="1DA358F3"/>
    <w:rsid w:val="1DA4266F"/>
    <w:rsid w:val="1DBE272D"/>
    <w:rsid w:val="1DCA0DA4"/>
    <w:rsid w:val="1DCE4C56"/>
    <w:rsid w:val="1DD51824"/>
    <w:rsid w:val="1DD737EE"/>
    <w:rsid w:val="1DD7785D"/>
    <w:rsid w:val="1DE0242C"/>
    <w:rsid w:val="1DE02E8C"/>
    <w:rsid w:val="1DE303E5"/>
    <w:rsid w:val="1DE357C9"/>
    <w:rsid w:val="1DE5415D"/>
    <w:rsid w:val="1DF71CF9"/>
    <w:rsid w:val="1DFB418B"/>
    <w:rsid w:val="1E025270"/>
    <w:rsid w:val="1E061D8D"/>
    <w:rsid w:val="1E1467F1"/>
    <w:rsid w:val="1E1510B3"/>
    <w:rsid w:val="1E1B06D7"/>
    <w:rsid w:val="1E1B192D"/>
    <w:rsid w:val="1E1D003B"/>
    <w:rsid w:val="1E2A636A"/>
    <w:rsid w:val="1E2B5895"/>
    <w:rsid w:val="1E37603B"/>
    <w:rsid w:val="1E3F71AC"/>
    <w:rsid w:val="1E407FC7"/>
    <w:rsid w:val="1E470974"/>
    <w:rsid w:val="1E472722"/>
    <w:rsid w:val="1E484768"/>
    <w:rsid w:val="1E4946FB"/>
    <w:rsid w:val="1E4A65BA"/>
    <w:rsid w:val="1E506677"/>
    <w:rsid w:val="1E5A2DA3"/>
    <w:rsid w:val="1E5F5CBE"/>
    <w:rsid w:val="1E611165"/>
    <w:rsid w:val="1E657195"/>
    <w:rsid w:val="1E683EEE"/>
    <w:rsid w:val="1E6C6427"/>
    <w:rsid w:val="1E6F3A27"/>
    <w:rsid w:val="1E7646AA"/>
    <w:rsid w:val="1E911BEF"/>
    <w:rsid w:val="1E965D04"/>
    <w:rsid w:val="1EA26379"/>
    <w:rsid w:val="1EA27C15"/>
    <w:rsid w:val="1EA9518B"/>
    <w:rsid w:val="1EC13239"/>
    <w:rsid w:val="1ED352F2"/>
    <w:rsid w:val="1ED920BE"/>
    <w:rsid w:val="1EDC138F"/>
    <w:rsid w:val="1EE17146"/>
    <w:rsid w:val="1EF65242"/>
    <w:rsid w:val="1EF7470E"/>
    <w:rsid w:val="1F05265B"/>
    <w:rsid w:val="1F073AFB"/>
    <w:rsid w:val="1F0C74C8"/>
    <w:rsid w:val="1F0E2E4B"/>
    <w:rsid w:val="1F1068A9"/>
    <w:rsid w:val="1F11207D"/>
    <w:rsid w:val="1F136AA8"/>
    <w:rsid w:val="1F1A3993"/>
    <w:rsid w:val="1F210279"/>
    <w:rsid w:val="1F3309E4"/>
    <w:rsid w:val="1F3C6344"/>
    <w:rsid w:val="1F436B6C"/>
    <w:rsid w:val="1F5307B0"/>
    <w:rsid w:val="1F5435CA"/>
    <w:rsid w:val="1F546D45"/>
    <w:rsid w:val="1F572E39"/>
    <w:rsid w:val="1F587450"/>
    <w:rsid w:val="1F603B68"/>
    <w:rsid w:val="1F6A639E"/>
    <w:rsid w:val="1F6B68E4"/>
    <w:rsid w:val="1F703EFB"/>
    <w:rsid w:val="1F78690B"/>
    <w:rsid w:val="1F8132C8"/>
    <w:rsid w:val="1F817EB6"/>
    <w:rsid w:val="1F8F25D3"/>
    <w:rsid w:val="1F9679D3"/>
    <w:rsid w:val="1F9961B3"/>
    <w:rsid w:val="1FA02744"/>
    <w:rsid w:val="1FAC011C"/>
    <w:rsid w:val="1FC24714"/>
    <w:rsid w:val="1FCB7383"/>
    <w:rsid w:val="1FCC3990"/>
    <w:rsid w:val="1FD727CF"/>
    <w:rsid w:val="1FE67D19"/>
    <w:rsid w:val="1FEA7809"/>
    <w:rsid w:val="1FEC17D3"/>
    <w:rsid w:val="200C298F"/>
    <w:rsid w:val="201C54FE"/>
    <w:rsid w:val="201E1C07"/>
    <w:rsid w:val="20230F6D"/>
    <w:rsid w:val="202A4D90"/>
    <w:rsid w:val="20435529"/>
    <w:rsid w:val="204607B7"/>
    <w:rsid w:val="204B6FF0"/>
    <w:rsid w:val="20517E69"/>
    <w:rsid w:val="20530F08"/>
    <w:rsid w:val="20584642"/>
    <w:rsid w:val="20633C6C"/>
    <w:rsid w:val="2066350B"/>
    <w:rsid w:val="206733F1"/>
    <w:rsid w:val="206D21E8"/>
    <w:rsid w:val="208701DC"/>
    <w:rsid w:val="20875058"/>
    <w:rsid w:val="20894F1D"/>
    <w:rsid w:val="208A2D9A"/>
    <w:rsid w:val="20942936"/>
    <w:rsid w:val="20A6041C"/>
    <w:rsid w:val="20AD1511"/>
    <w:rsid w:val="20AE71CD"/>
    <w:rsid w:val="20BD3B08"/>
    <w:rsid w:val="20C223F3"/>
    <w:rsid w:val="20C75587"/>
    <w:rsid w:val="20D52267"/>
    <w:rsid w:val="20DD7EA1"/>
    <w:rsid w:val="20DF30E6"/>
    <w:rsid w:val="20E13611"/>
    <w:rsid w:val="20EC6F0D"/>
    <w:rsid w:val="20EF3849"/>
    <w:rsid w:val="20F3093F"/>
    <w:rsid w:val="20FD7F71"/>
    <w:rsid w:val="20FF4EC3"/>
    <w:rsid w:val="21114D59"/>
    <w:rsid w:val="211663DC"/>
    <w:rsid w:val="212707FC"/>
    <w:rsid w:val="212A008C"/>
    <w:rsid w:val="212C0C7F"/>
    <w:rsid w:val="21351FCE"/>
    <w:rsid w:val="213571AA"/>
    <w:rsid w:val="21397105"/>
    <w:rsid w:val="215B6F59"/>
    <w:rsid w:val="216C24A0"/>
    <w:rsid w:val="216D73A5"/>
    <w:rsid w:val="217F0425"/>
    <w:rsid w:val="2181475C"/>
    <w:rsid w:val="21821CC3"/>
    <w:rsid w:val="21863D6C"/>
    <w:rsid w:val="21893052"/>
    <w:rsid w:val="218D6398"/>
    <w:rsid w:val="21B61F52"/>
    <w:rsid w:val="21BF4CC5"/>
    <w:rsid w:val="21C614F6"/>
    <w:rsid w:val="21CD73E2"/>
    <w:rsid w:val="21CF703D"/>
    <w:rsid w:val="21D57E5D"/>
    <w:rsid w:val="21DC7859"/>
    <w:rsid w:val="21E14C3C"/>
    <w:rsid w:val="21F87E46"/>
    <w:rsid w:val="220628F4"/>
    <w:rsid w:val="220B38D3"/>
    <w:rsid w:val="220F27AB"/>
    <w:rsid w:val="221A1EFC"/>
    <w:rsid w:val="221C5C74"/>
    <w:rsid w:val="223029AE"/>
    <w:rsid w:val="22362D2F"/>
    <w:rsid w:val="22450EC6"/>
    <w:rsid w:val="22462CF1"/>
    <w:rsid w:val="224B1241"/>
    <w:rsid w:val="224C173C"/>
    <w:rsid w:val="22565E31"/>
    <w:rsid w:val="22603DB2"/>
    <w:rsid w:val="226C24D9"/>
    <w:rsid w:val="22721D38"/>
    <w:rsid w:val="227540C8"/>
    <w:rsid w:val="227E4E98"/>
    <w:rsid w:val="228552BB"/>
    <w:rsid w:val="228F4698"/>
    <w:rsid w:val="22A30143"/>
    <w:rsid w:val="22C00CF5"/>
    <w:rsid w:val="22C438D9"/>
    <w:rsid w:val="22C500B9"/>
    <w:rsid w:val="22C90127"/>
    <w:rsid w:val="22D008F7"/>
    <w:rsid w:val="22D42D6B"/>
    <w:rsid w:val="22D47123"/>
    <w:rsid w:val="22DF5D82"/>
    <w:rsid w:val="22DF73CD"/>
    <w:rsid w:val="22E31B81"/>
    <w:rsid w:val="22E72F77"/>
    <w:rsid w:val="22E9418C"/>
    <w:rsid w:val="22EE7610"/>
    <w:rsid w:val="22F97D63"/>
    <w:rsid w:val="22FD581D"/>
    <w:rsid w:val="231A6446"/>
    <w:rsid w:val="23200D04"/>
    <w:rsid w:val="23252F62"/>
    <w:rsid w:val="2329015A"/>
    <w:rsid w:val="232A0681"/>
    <w:rsid w:val="233174FD"/>
    <w:rsid w:val="233314C7"/>
    <w:rsid w:val="23343579"/>
    <w:rsid w:val="233D41F6"/>
    <w:rsid w:val="233E1D9D"/>
    <w:rsid w:val="23571659"/>
    <w:rsid w:val="235A23F9"/>
    <w:rsid w:val="235A27F5"/>
    <w:rsid w:val="23690BF3"/>
    <w:rsid w:val="23897714"/>
    <w:rsid w:val="238A746E"/>
    <w:rsid w:val="23A70DB3"/>
    <w:rsid w:val="23AA294B"/>
    <w:rsid w:val="23BB1434"/>
    <w:rsid w:val="23BC770E"/>
    <w:rsid w:val="23C10881"/>
    <w:rsid w:val="23C369D1"/>
    <w:rsid w:val="23D003FB"/>
    <w:rsid w:val="23E06FF0"/>
    <w:rsid w:val="23F26B67"/>
    <w:rsid w:val="2403533D"/>
    <w:rsid w:val="240510B5"/>
    <w:rsid w:val="24321DFA"/>
    <w:rsid w:val="24343749"/>
    <w:rsid w:val="243A11F2"/>
    <w:rsid w:val="245149F5"/>
    <w:rsid w:val="24530C8F"/>
    <w:rsid w:val="245331CC"/>
    <w:rsid w:val="246062EC"/>
    <w:rsid w:val="24636547"/>
    <w:rsid w:val="24662851"/>
    <w:rsid w:val="2466767A"/>
    <w:rsid w:val="246979EB"/>
    <w:rsid w:val="24717D47"/>
    <w:rsid w:val="247B4ED4"/>
    <w:rsid w:val="249353C5"/>
    <w:rsid w:val="249C788A"/>
    <w:rsid w:val="24AB32DF"/>
    <w:rsid w:val="24B77ED6"/>
    <w:rsid w:val="24B82B32"/>
    <w:rsid w:val="24BB6D5B"/>
    <w:rsid w:val="24C35FFD"/>
    <w:rsid w:val="24C820E3"/>
    <w:rsid w:val="24CE594B"/>
    <w:rsid w:val="24D76B19"/>
    <w:rsid w:val="24D942F0"/>
    <w:rsid w:val="24DC6375"/>
    <w:rsid w:val="24F755BB"/>
    <w:rsid w:val="24FA5375"/>
    <w:rsid w:val="24FB6014"/>
    <w:rsid w:val="25017852"/>
    <w:rsid w:val="2504136D"/>
    <w:rsid w:val="25167458"/>
    <w:rsid w:val="251D6943"/>
    <w:rsid w:val="251E581D"/>
    <w:rsid w:val="25227A45"/>
    <w:rsid w:val="252A368C"/>
    <w:rsid w:val="253317B8"/>
    <w:rsid w:val="2537641D"/>
    <w:rsid w:val="25387269"/>
    <w:rsid w:val="253C3EF7"/>
    <w:rsid w:val="254A2AF8"/>
    <w:rsid w:val="2558795E"/>
    <w:rsid w:val="255E089E"/>
    <w:rsid w:val="257F5882"/>
    <w:rsid w:val="25932478"/>
    <w:rsid w:val="259326F1"/>
    <w:rsid w:val="25950217"/>
    <w:rsid w:val="25987884"/>
    <w:rsid w:val="25A62424"/>
    <w:rsid w:val="25AC188B"/>
    <w:rsid w:val="25AE12D9"/>
    <w:rsid w:val="25B53ACA"/>
    <w:rsid w:val="25BF330D"/>
    <w:rsid w:val="25C27A7C"/>
    <w:rsid w:val="25C76039"/>
    <w:rsid w:val="25C77AF7"/>
    <w:rsid w:val="25D47754"/>
    <w:rsid w:val="25DE1BBE"/>
    <w:rsid w:val="25E31DB1"/>
    <w:rsid w:val="25E876E0"/>
    <w:rsid w:val="25F341F9"/>
    <w:rsid w:val="25F50CB6"/>
    <w:rsid w:val="25FD4EFD"/>
    <w:rsid w:val="260333D3"/>
    <w:rsid w:val="2603678D"/>
    <w:rsid w:val="26050C41"/>
    <w:rsid w:val="26123616"/>
    <w:rsid w:val="26190E48"/>
    <w:rsid w:val="261A0D6A"/>
    <w:rsid w:val="263F4733"/>
    <w:rsid w:val="264826D8"/>
    <w:rsid w:val="26486C62"/>
    <w:rsid w:val="26543C2E"/>
    <w:rsid w:val="26581526"/>
    <w:rsid w:val="265C0D35"/>
    <w:rsid w:val="2670484F"/>
    <w:rsid w:val="26765CBD"/>
    <w:rsid w:val="267C3185"/>
    <w:rsid w:val="26803036"/>
    <w:rsid w:val="268069AF"/>
    <w:rsid w:val="26845C6C"/>
    <w:rsid w:val="26873841"/>
    <w:rsid w:val="26885E09"/>
    <w:rsid w:val="26935259"/>
    <w:rsid w:val="269408C3"/>
    <w:rsid w:val="269A360B"/>
    <w:rsid w:val="26A244E0"/>
    <w:rsid w:val="26AF5A72"/>
    <w:rsid w:val="26B41E2F"/>
    <w:rsid w:val="26B648E9"/>
    <w:rsid w:val="26BE55EA"/>
    <w:rsid w:val="26C00BB3"/>
    <w:rsid w:val="26C35476"/>
    <w:rsid w:val="26C762DB"/>
    <w:rsid w:val="26D063BA"/>
    <w:rsid w:val="26DC20E5"/>
    <w:rsid w:val="26E5007A"/>
    <w:rsid w:val="26F251F5"/>
    <w:rsid w:val="26F7280B"/>
    <w:rsid w:val="26F97745"/>
    <w:rsid w:val="26FB054E"/>
    <w:rsid w:val="27007912"/>
    <w:rsid w:val="270E3585"/>
    <w:rsid w:val="274243CE"/>
    <w:rsid w:val="274342DB"/>
    <w:rsid w:val="2749750B"/>
    <w:rsid w:val="274B353E"/>
    <w:rsid w:val="274E1B6E"/>
    <w:rsid w:val="27524FD4"/>
    <w:rsid w:val="275319F4"/>
    <w:rsid w:val="27554102"/>
    <w:rsid w:val="27557EE7"/>
    <w:rsid w:val="27613BAA"/>
    <w:rsid w:val="27677991"/>
    <w:rsid w:val="276A2C20"/>
    <w:rsid w:val="276E6872"/>
    <w:rsid w:val="277E30D9"/>
    <w:rsid w:val="278E3101"/>
    <w:rsid w:val="27906EE8"/>
    <w:rsid w:val="27941CFF"/>
    <w:rsid w:val="27A504B9"/>
    <w:rsid w:val="27AA5AD0"/>
    <w:rsid w:val="27AC7A9A"/>
    <w:rsid w:val="27AF6B80"/>
    <w:rsid w:val="27B11DE0"/>
    <w:rsid w:val="27B76782"/>
    <w:rsid w:val="27BC1DF8"/>
    <w:rsid w:val="27C77DD7"/>
    <w:rsid w:val="27C844E7"/>
    <w:rsid w:val="27D80F59"/>
    <w:rsid w:val="27F136FF"/>
    <w:rsid w:val="28076074"/>
    <w:rsid w:val="280D4614"/>
    <w:rsid w:val="28106E54"/>
    <w:rsid w:val="281846D4"/>
    <w:rsid w:val="282F78FD"/>
    <w:rsid w:val="28436F61"/>
    <w:rsid w:val="285453B8"/>
    <w:rsid w:val="28616AD6"/>
    <w:rsid w:val="286A2391"/>
    <w:rsid w:val="28724132"/>
    <w:rsid w:val="287B59F6"/>
    <w:rsid w:val="287C05EC"/>
    <w:rsid w:val="28847D06"/>
    <w:rsid w:val="288F48FB"/>
    <w:rsid w:val="28974169"/>
    <w:rsid w:val="28A81C31"/>
    <w:rsid w:val="28AC0ECF"/>
    <w:rsid w:val="28AE2264"/>
    <w:rsid w:val="28B2089B"/>
    <w:rsid w:val="28B835EA"/>
    <w:rsid w:val="28BE57FD"/>
    <w:rsid w:val="28C01F1D"/>
    <w:rsid w:val="28C14CAA"/>
    <w:rsid w:val="28C64B8B"/>
    <w:rsid w:val="28C66939"/>
    <w:rsid w:val="28CD7CC8"/>
    <w:rsid w:val="28D35487"/>
    <w:rsid w:val="28EB33ED"/>
    <w:rsid w:val="28F039B6"/>
    <w:rsid w:val="28FB3492"/>
    <w:rsid w:val="29001D45"/>
    <w:rsid w:val="290B259E"/>
    <w:rsid w:val="290D0C20"/>
    <w:rsid w:val="29154A5F"/>
    <w:rsid w:val="29162105"/>
    <w:rsid w:val="29196138"/>
    <w:rsid w:val="291B4ED7"/>
    <w:rsid w:val="291D6CFF"/>
    <w:rsid w:val="291E564E"/>
    <w:rsid w:val="29336774"/>
    <w:rsid w:val="293D6BFB"/>
    <w:rsid w:val="29454998"/>
    <w:rsid w:val="29533B4A"/>
    <w:rsid w:val="29534671"/>
    <w:rsid w:val="295E3016"/>
    <w:rsid w:val="29737711"/>
    <w:rsid w:val="29741CFA"/>
    <w:rsid w:val="29752839"/>
    <w:rsid w:val="297C2E49"/>
    <w:rsid w:val="29941624"/>
    <w:rsid w:val="299554BA"/>
    <w:rsid w:val="29956056"/>
    <w:rsid w:val="299B7D80"/>
    <w:rsid w:val="29A22F02"/>
    <w:rsid w:val="29A80C19"/>
    <w:rsid w:val="29AA3C23"/>
    <w:rsid w:val="29B12F1C"/>
    <w:rsid w:val="29BA649E"/>
    <w:rsid w:val="29BF59D6"/>
    <w:rsid w:val="29C015DB"/>
    <w:rsid w:val="29C53546"/>
    <w:rsid w:val="29C941A2"/>
    <w:rsid w:val="29D46E34"/>
    <w:rsid w:val="29DF7CB3"/>
    <w:rsid w:val="29EB49C9"/>
    <w:rsid w:val="29EF3FB8"/>
    <w:rsid w:val="29F01EC0"/>
    <w:rsid w:val="29F12286"/>
    <w:rsid w:val="29F26D1D"/>
    <w:rsid w:val="29FB2966"/>
    <w:rsid w:val="2A0A0E9F"/>
    <w:rsid w:val="2A1B4A63"/>
    <w:rsid w:val="2A1D7695"/>
    <w:rsid w:val="2A241B69"/>
    <w:rsid w:val="2A2B2E5B"/>
    <w:rsid w:val="2A37472F"/>
    <w:rsid w:val="2A3A63BF"/>
    <w:rsid w:val="2A411009"/>
    <w:rsid w:val="2A4651B7"/>
    <w:rsid w:val="2A48150B"/>
    <w:rsid w:val="2A4C0A1A"/>
    <w:rsid w:val="2A4C6A3D"/>
    <w:rsid w:val="2A633D38"/>
    <w:rsid w:val="2A655AFF"/>
    <w:rsid w:val="2A662182"/>
    <w:rsid w:val="2A691C72"/>
    <w:rsid w:val="2A715DEA"/>
    <w:rsid w:val="2A726D79"/>
    <w:rsid w:val="2A9211C9"/>
    <w:rsid w:val="2A930A9D"/>
    <w:rsid w:val="2A97631D"/>
    <w:rsid w:val="2AAB228B"/>
    <w:rsid w:val="2AB4054B"/>
    <w:rsid w:val="2AB843C9"/>
    <w:rsid w:val="2ABC5A31"/>
    <w:rsid w:val="2ABF5640"/>
    <w:rsid w:val="2AD307BD"/>
    <w:rsid w:val="2AEA4C38"/>
    <w:rsid w:val="2AFE46B0"/>
    <w:rsid w:val="2B073FBC"/>
    <w:rsid w:val="2B0C0F7B"/>
    <w:rsid w:val="2B0C18DB"/>
    <w:rsid w:val="2B163BA8"/>
    <w:rsid w:val="2B22095A"/>
    <w:rsid w:val="2B255B99"/>
    <w:rsid w:val="2B392180"/>
    <w:rsid w:val="2B3C1D66"/>
    <w:rsid w:val="2B3E28EB"/>
    <w:rsid w:val="2B430D79"/>
    <w:rsid w:val="2B6A39AF"/>
    <w:rsid w:val="2B6E1F63"/>
    <w:rsid w:val="2B7935AF"/>
    <w:rsid w:val="2B822FEC"/>
    <w:rsid w:val="2B8A00F2"/>
    <w:rsid w:val="2B9215B2"/>
    <w:rsid w:val="2B940F71"/>
    <w:rsid w:val="2B9B40AD"/>
    <w:rsid w:val="2BA42C24"/>
    <w:rsid w:val="2BB623FD"/>
    <w:rsid w:val="2BC37160"/>
    <w:rsid w:val="2BC566C7"/>
    <w:rsid w:val="2BC81736"/>
    <w:rsid w:val="2BD93FA4"/>
    <w:rsid w:val="2BE041B6"/>
    <w:rsid w:val="2BE3479D"/>
    <w:rsid w:val="2BEE242F"/>
    <w:rsid w:val="2BFB3F34"/>
    <w:rsid w:val="2C0E0D00"/>
    <w:rsid w:val="2C19133D"/>
    <w:rsid w:val="2C1A1B3D"/>
    <w:rsid w:val="2C1F6A8C"/>
    <w:rsid w:val="2C221397"/>
    <w:rsid w:val="2C2422F5"/>
    <w:rsid w:val="2C2B29E8"/>
    <w:rsid w:val="2C3342E6"/>
    <w:rsid w:val="2C3F712F"/>
    <w:rsid w:val="2C5B15E2"/>
    <w:rsid w:val="2C6B7F24"/>
    <w:rsid w:val="2C7847AD"/>
    <w:rsid w:val="2C81653D"/>
    <w:rsid w:val="2C954FA0"/>
    <w:rsid w:val="2CA14560"/>
    <w:rsid w:val="2CB73169"/>
    <w:rsid w:val="2CB9247E"/>
    <w:rsid w:val="2CBC077F"/>
    <w:rsid w:val="2CBE44F7"/>
    <w:rsid w:val="2CC31B0E"/>
    <w:rsid w:val="2CC87124"/>
    <w:rsid w:val="2CED3626"/>
    <w:rsid w:val="2CF42A2C"/>
    <w:rsid w:val="2CFE2B46"/>
    <w:rsid w:val="2D1547AA"/>
    <w:rsid w:val="2D1C0C8B"/>
    <w:rsid w:val="2D201C96"/>
    <w:rsid w:val="2D256324"/>
    <w:rsid w:val="2D475309"/>
    <w:rsid w:val="2D487C2E"/>
    <w:rsid w:val="2D500625"/>
    <w:rsid w:val="2D511CF8"/>
    <w:rsid w:val="2D574004"/>
    <w:rsid w:val="2D6A29FA"/>
    <w:rsid w:val="2D6B7AAF"/>
    <w:rsid w:val="2D727090"/>
    <w:rsid w:val="2D7828F8"/>
    <w:rsid w:val="2D8079FF"/>
    <w:rsid w:val="2D8E5DB3"/>
    <w:rsid w:val="2D9C231F"/>
    <w:rsid w:val="2D9F3C27"/>
    <w:rsid w:val="2D9F5148"/>
    <w:rsid w:val="2DA37249"/>
    <w:rsid w:val="2DAB019F"/>
    <w:rsid w:val="2DAF51C6"/>
    <w:rsid w:val="2DB15F1B"/>
    <w:rsid w:val="2DB66F7C"/>
    <w:rsid w:val="2DCC49F2"/>
    <w:rsid w:val="2DE23E93"/>
    <w:rsid w:val="2DE44B7D"/>
    <w:rsid w:val="2DE67E59"/>
    <w:rsid w:val="2DE85A59"/>
    <w:rsid w:val="2DF1463F"/>
    <w:rsid w:val="2DF61A6F"/>
    <w:rsid w:val="2DFD2DFD"/>
    <w:rsid w:val="2E00515D"/>
    <w:rsid w:val="2E153C96"/>
    <w:rsid w:val="2E1D043E"/>
    <w:rsid w:val="2E2C3CC9"/>
    <w:rsid w:val="2E2D39B2"/>
    <w:rsid w:val="2E312AA7"/>
    <w:rsid w:val="2E344345"/>
    <w:rsid w:val="2E3558C9"/>
    <w:rsid w:val="2E3944DD"/>
    <w:rsid w:val="2E4E18AB"/>
    <w:rsid w:val="2E524DAC"/>
    <w:rsid w:val="2E5465B0"/>
    <w:rsid w:val="2E553313"/>
    <w:rsid w:val="2E6C4C6B"/>
    <w:rsid w:val="2E750BE6"/>
    <w:rsid w:val="2E760F81"/>
    <w:rsid w:val="2E7A64DB"/>
    <w:rsid w:val="2E7F0E45"/>
    <w:rsid w:val="2E816717"/>
    <w:rsid w:val="2E884DBD"/>
    <w:rsid w:val="2E8E1CA7"/>
    <w:rsid w:val="2E9A4AF0"/>
    <w:rsid w:val="2E9B6172"/>
    <w:rsid w:val="2EA8720D"/>
    <w:rsid w:val="2EB774D0"/>
    <w:rsid w:val="2ED62883"/>
    <w:rsid w:val="2EDC6EB7"/>
    <w:rsid w:val="2EDF0755"/>
    <w:rsid w:val="2EE04406"/>
    <w:rsid w:val="2EE461BC"/>
    <w:rsid w:val="2EE642AD"/>
    <w:rsid w:val="2EE75989"/>
    <w:rsid w:val="2EEB2202"/>
    <w:rsid w:val="2EF95138"/>
    <w:rsid w:val="2F05447E"/>
    <w:rsid w:val="2F0F6DAF"/>
    <w:rsid w:val="2F195A15"/>
    <w:rsid w:val="2F234777"/>
    <w:rsid w:val="2F3F6D21"/>
    <w:rsid w:val="2F422496"/>
    <w:rsid w:val="2F427B64"/>
    <w:rsid w:val="2F503401"/>
    <w:rsid w:val="2F5876BD"/>
    <w:rsid w:val="2F776AE1"/>
    <w:rsid w:val="2F7A7771"/>
    <w:rsid w:val="2F851A18"/>
    <w:rsid w:val="2F8E7570"/>
    <w:rsid w:val="2F912749"/>
    <w:rsid w:val="2F930885"/>
    <w:rsid w:val="2F9432ED"/>
    <w:rsid w:val="2FA70B41"/>
    <w:rsid w:val="2FAE780E"/>
    <w:rsid w:val="2FB27C17"/>
    <w:rsid w:val="2FB92D54"/>
    <w:rsid w:val="2FBB6ACC"/>
    <w:rsid w:val="2FBE7790"/>
    <w:rsid w:val="2FC404C7"/>
    <w:rsid w:val="2FC55B9D"/>
    <w:rsid w:val="2FDA528D"/>
    <w:rsid w:val="2FDB2CCA"/>
    <w:rsid w:val="2FEA61C6"/>
    <w:rsid w:val="2FF46A33"/>
    <w:rsid w:val="30164ACC"/>
    <w:rsid w:val="301746AE"/>
    <w:rsid w:val="301A510E"/>
    <w:rsid w:val="301E705B"/>
    <w:rsid w:val="303643A5"/>
    <w:rsid w:val="303D05BF"/>
    <w:rsid w:val="30446691"/>
    <w:rsid w:val="305122AD"/>
    <w:rsid w:val="30536DA5"/>
    <w:rsid w:val="30537BCC"/>
    <w:rsid w:val="30555F0B"/>
    <w:rsid w:val="305B18F9"/>
    <w:rsid w:val="306166A8"/>
    <w:rsid w:val="306675DB"/>
    <w:rsid w:val="306F4A5C"/>
    <w:rsid w:val="30704F1E"/>
    <w:rsid w:val="30781A3D"/>
    <w:rsid w:val="308E41E1"/>
    <w:rsid w:val="30913CD1"/>
    <w:rsid w:val="3095556F"/>
    <w:rsid w:val="30990814"/>
    <w:rsid w:val="30AE2458"/>
    <w:rsid w:val="30B74EB9"/>
    <w:rsid w:val="30CC4D09"/>
    <w:rsid w:val="30D14AC9"/>
    <w:rsid w:val="30D245A8"/>
    <w:rsid w:val="30D8545C"/>
    <w:rsid w:val="30DB6CFA"/>
    <w:rsid w:val="30E87D95"/>
    <w:rsid w:val="31130579"/>
    <w:rsid w:val="31150AF7"/>
    <w:rsid w:val="312468F3"/>
    <w:rsid w:val="312977F5"/>
    <w:rsid w:val="312A4167"/>
    <w:rsid w:val="312B7C81"/>
    <w:rsid w:val="3138415A"/>
    <w:rsid w:val="3140510D"/>
    <w:rsid w:val="314551CE"/>
    <w:rsid w:val="31490B16"/>
    <w:rsid w:val="314B32BF"/>
    <w:rsid w:val="31500AF0"/>
    <w:rsid w:val="3152520E"/>
    <w:rsid w:val="315C42DF"/>
    <w:rsid w:val="31606BA9"/>
    <w:rsid w:val="316311C9"/>
    <w:rsid w:val="31717387"/>
    <w:rsid w:val="317B5137"/>
    <w:rsid w:val="31B173FD"/>
    <w:rsid w:val="31B41A25"/>
    <w:rsid w:val="31B535AF"/>
    <w:rsid w:val="31BC4CEF"/>
    <w:rsid w:val="31C679AA"/>
    <w:rsid w:val="31C75BFC"/>
    <w:rsid w:val="31E00A6C"/>
    <w:rsid w:val="31E83DC4"/>
    <w:rsid w:val="31EA44FA"/>
    <w:rsid w:val="31F304A6"/>
    <w:rsid w:val="32091243"/>
    <w:rsid w:val="320D7387"/>
    <w:rsid w:val="32294765"/>
    <w:rsid w:val="322F554F"/>
    <w:rsid w:val="32462982"/>
    <w:rsid w:val="3264169D"/>
    <w:rsid w:val="327E7CD9"/>
    <w:rsid w:val="32833C9A"/>
    <w:rsid w:val="328B4439"/>
    <w:rsid w:val="3291620A"/>
    <w:rsid w:val="32B024C8"/>
    <w:rsid w:val="32B141B6"/>
    <w:rsid w:val="32B55A55"/>
    <w:rsid w:val="32B56E69"/>
    <w:rsid w:val="32BD5F4B"/>
    <w:rsid w:val="32CC40EF"/>
    <w:rsid w:val="32F445A5"/>
    <w:rsid w:val="32F9700A"/>
    <w:rsid w:val="32FC5FC6"/>
    <w:rsid w:val="32FD11AA"/>
    <w:rsid w:val="330F4401"/>
    <w:rsid w:val="33154745"/>
    <w:rsid w:val="331E1E02"/>
    <w:rsid w:val="33353215"/>
    <w:rsid w:val="33356B95"/>
    <w:rsid w:val="33435036"/>
    <w:rsid w:val="33436827"/>
    <w:rsid w:val="33472431"/>
    <w:rsid w:val="3349476B"/>
    <w:rsid w:val="334A006B"/>
    <w:rsid w:val="334F40FB"/>
    <w:rsid w:val="335D7B29"/>
    <w:rsid w:val="336B0B61"/>
    <w:rsid w:val="338466A7"/>
    <w:rsid w:val="33877047"/>
    <w:rsid w:val="33885AE0"/>
    <w:rsid w:val="338C3ABE"/>
    <w:rsid w:val="33A867A1"/>
    <w:rsid w:val="33B10912"/>
    <w:rsid w:val="33B757FC"/>
    <w:rsid w:val="33BE0CB2"/>
    <w:rsid w:val="33C02706"/>
    <w:rsid w:val="33C70135"/>
    <w:rsid w:val="33CF0D98"/>
    <w:rsid w:val="33D21CA6"/>
    <w:rsid w:val="33E87FA4"/>
    <w:rsid w:val="33EB493B"/>
    <w:rsid w:val="33F133C2"/>
    <w:rsid w:val="33F943AC"/>
    <w:rsid w:val="341548E7"/>
    <w:rsid w:val="3418218C"/>
    <w:rsid w:val="34251F8E"/>
    <w:rsid w:val="34397292"/>
    <w:rsid w:val="343C3F54"/>
    <w:rsid w:val="345A7961"/>
    <w:rsid w:val="345D45F6"/>
    <w:rsid w:val="34755A99"/>
    <w:rsid w:val="34763909"/>
    <w:rsid w:val="347A05C3"/>
    <w:rsid w:val="347E5080"/>
    <w:rsid w:val="34806536"/>
    <w:rsid w:val="34842CBB"/>
    <w:rsid w:val="34857037"/>
    <w:rsid w:val="348D4D75"/>
    <w:rsid w:val="34902CE5"/>
    <w:rsid w:val="34965FFC"/>
    <w:rsid w:val="349E0792"/>
    <w:rsid w:val="34A915E9"/>
    <w:rsid w:val="34B475AD"/>
    <w:rsid w:val="34B47F8E"/>
    <w:rsid w:val="34C1398D"/>
    <w:rsid w:val="34C2147D"/>
    <w:rsid w:val="34D33C1F"/>
    <w:rsid w:val="34DB71D0"/>
    <w:rsid w:val="34E077DE"/>
    <w:rsid w:val="34EB3FFA"/>
    <w:rsid w:val="34F605A6"/>
    <w:rsid w:val="35011425"/>
    <w:rsid w:val="350C5191"/>
    <w:rsid w:val="350E5544"/>
    <w:rsid w:val="35137050"/>
    <w:rsid w:val="351911D3"/>
    <w:rsid w:val="351C58FB"/>
    <w:rsid w:val="352670DE"/>
    <w:rsid w:val="352C3FC8"/>
    <w:rsid w:val="35317CDE"/>
    <w:rsid w:val="35466E38"/>
    <w:rsid w:val="35493147"/>
    <w:rsid w:val="354B08F2"/>
    <w:rsid w:val="35531555"/>
    <w:rsid w:val="35572F42"/>
    <w:rsid w:val="35597C68"/>
    <w:rsid w:val="35680A2A"/>
    <w:rsid w:val="35682CA4"/>
    <w:rsid w:val="356E2833"/>
    <w:rsid w:val="356E5C0E"/>
    <w:rsid w:val="357375C4"/>
    <w:rsid w:val="357A2F85"/>
    <w:rsid w:val="357A743D"/>
    <w:rsid w:val="357C6CFE"/>
    <w:rsid w:val="358931C8"/>
    <w:rsid w:val="358B52B4"/>
    <w:rsid w:val="358F18F4"/>
    <w:rsid w:val="359174AE"/>
    <w:rsid w:val="35990A65"/>
    <w:rsid w:val="359D6299"/>
    <w:rsid w:val="35A6171B"/>
    <w:rsid w:val="35A82F5F"/>
    <w:rsid w:val="35B603F5"/>
    <w:rsid w:val="35B77B3B"/>
    <w:rsid w:val="35C30EB6"/>
    <w:rsid w:val="35CC2089"/>
    <w:rsid w:val="35DC554E"/>
    <w:rsid w:val="35E14BB8"/>
    <w:rsid w:val="35E6061B"/>
    <w:rsid w:val="35EA1EB9"/>
    <w:rsid w:val="35EF1F65"/>
    <w:rsid w:val="35EF4E9F"/>
    <w:rsid w:val="35F1149A"/>
    <w:rsid w:val="36011B96"/>
    <w:rsid w:val="360D3064"/>
    <w:rsid w:val="361F31E0"/>
    <w:rsid w:val="363650FE"/>
    <w:rsid w:val="364F3743"/>
    <w:rsid w:val="3652616D"/>
    <w:rsid w:val="36590DED"/>
    <w:rsid w:val="366046B9"/>
    <w:rsid w:val="366135C0"/>
    <w:rsid w:val="366A5627"/>
    <w:rsid w:val="366B28CE"/>
    <w:rsid w:val="36710AA2"/>
    <w:rsid w:val="36714388"/>
    <w:rsid w:val="367F4CF7"/>
    <w:rsid w:val="36AC26B2"/>
    <w:rsid w:val="36C81B5B"/>
    <w:rsid w:val="36CA4796"/>
    <w:rsid w:val="36D305E5"/>
    <w:rsid w:val="36EA7FF2"/>
    <w:rsid w:val="36F72798"/>
    <w:rsid w:val="36F836BA"/>
    <w:rsid w:val="37017235"/>
    <w:rsid w:val="37074BB1"/>
    <w:rsid w:val="371A685A"/>
    <w:rsid w:val="371C6093"/>
    <w:rsid w:val="372907BF"/>
    <w:rsid w:val="373D169F"/>
    <w:rsid w:val="374101FF"/>
    <w:rsid w:val="374E143A"/>
    <w:rsid w:val="374E69ED"/>
    <w:rsid w:val="375145A6"/>
    <w:rsid w:val="37522485"/>
    <w:rsid w:val="37613C52"/>
    <w:rsid w:val="376F2885"/>
    <w:rsid w:val="377835C6"/>
    <w:rsid w:val="37797999"/>
    <w:rsid w:val="3793032E"/>
    <w:rsid w:val="37BC5AD7"/>
    <w:rsid w:val="37C35D96"/>
    <w:rsid w:val="37DC56CD"/>
    <w:rsid w:val="37DD1744"/>
    <w:rsid w:val="37DE3C9F"/>
    <w:rsid w:val="37ED3EE3"/>
    <w:rsid w:val="37F039D3"/>
    <w:rsid w:val="37F25243"/>
    <w:rsid w:val="37F708BD"/>
    <w:rsid w:val="38003C16"/>
    <w:rsid w:val="380255AF"/>
    <w:rsid w:val="38083D4D"/>
    <w:rsid w:val="381B27FE"/>
    <w:rsid w:val="382B67B9"/>
    <w:rsid w:val="382C0C9E"/>
    <w:rsid w:val="382F2EDF"/>
    <w:rsid w:val="38333626"/>
    <w:rsid w:val="384004B6"/>
    <w:rsid w:val="38417D8A"/>
    <w:rsid w:val="384E441A"/>
    <w:rsid w:val="38506C2F"/>
    <w:rsid w:val="385C7448"/>
    <w:rsid w:val="38795776"/>
    <w:rsid w:val="387C0733"/>
    <w:rsid w:val="387C7B59"/>
    <w:rsid w:val="38803B23"/>
    <w:rsid w:val="38877CF7"/>
    <w:rsid w:val="388F4F9A"/>
    <w:rsid w:val="38932C93"/>
    <w:rsid w:val="38961914"/>
    <w:rsid w:val="389820A0"/>
    <w:rsid w:val="389D76B7"/>
    <w:rsid w:val="38AF3010"/>
    <w:rsid w:val="38B4055C"/>
    <w:rsid w:val="38BF6536"/>
    <w:rsid w:val="38D5381C"/>
    <w:rsid w:val="38D62BC9"/>
    <w:rsid w:val="38D822E9"/>
    <w:rsid w:val="38DD6A3B"/>
    <w:rsid w:val="38E03474"/>
    <w:rsid w:val="38E2286A"/>
    <w:rsid w:val="38E32D4B"/>
    <w:rsid w:val="38E94228"/>
    <w:rsid w:val="39051B96"/>
    <w:rsid w:val="39090EB2"/>
    <w:rsid w:val="390A09B4"/>
    <w:rsid w:val="390B2C76"/>
    <w:rsid w:val="390E4110"/>
    <w:rsid w:val="391644FB"/>
    <w:rsid w:val="39237EB6"/>
    <w:rsid w:val="39257351"/>
    <w:rsid w:val="392F0F3D"/>
    <w:rsid w:val="39322F95"/>
    <w:rsid w:val="39326C32"/>
    <w:rsid w:val="39365415"/>
    <w:rsid w:val="39430A5E"/>
    <w:rsid w:val="395F496C"/>
    <w:rsid w:val="39602F23"/>
    <w:rsid w:val="396512F4"/>
    <w:rsid w:val="396B58C4"/>
    <w:rsid w:val="397B0BB4"/>
    <w:rsid w:val="397B39B9"/>
    <w:rsid w:val="399979C2"/>
    <w:rsid w:val="399B3376"/>
    <w:rsid w:val="399F120C"/>
    <w:rsid w:val="39A369E1"/>
    <w:rsid w:val="39A46823"/>
    <w:rsid w:val="39A64195"/>
    <w:rsid w:val="39AF1465"/>
    <w:rsid w:val="39C04E20"/>
    <w:rsid w:val="39CA3463"/>
    <w:rsid w:val="39CF6662"/>
    <w:rsid w:val="39D30EB6"/>
    <w:rsid w:val="39D363D1"/>
    <w:rsid w:val="39E80849"/>
    <w:rsid w:val="39F2252B"/>
    <w:rsid w:val="3A0E0140"/>
    <w:rsid w:val="3A0E5A41"/>
    <w:rsid w:val="3A103EB8"/>
    <w:rsid w:val="3A13425C"/>
    <w:rsid w:val="3A2175BE"/>
    <w:rsid w:val="3A2436D1"/>
    <w:rsid w:val="3A271FF2"/>
    <w:rsid w:val="3A281202"/>
    <w:rsid w:val="3A2A7F00"/>
    <w:rsid w:val="3A3556CD"/>
    <w:rsid w:val="3A3E6C77"/>
    <w:rsid w:val="3A4D6EBA"/>
    <w:rsid w:val="3A56445D"/>
    <w:rsid w:val="3A593D19"/>
    <w:rsid w:val="3A594D99"/>
    <w:rsid w:val="3A612966"/>
    <w:rsid w:val="3A6A27D7"/>
    <w:rsid w:val="3A7B57D6"/>
    <w:rsid w:val="3AA06FEA"/>
    <w:rsid w:val="3AAD7959"/>
    <w:rsid w:val="3AAF0323"/>
    <w:rsid w:val="3ABA71C9"/>
    <w:rsid w:val="3ABC09E4"/>
    <w:rsid w:val="3ABD31B2"/>
    <w:rsid w:val="3AC407C9"/>
    <w:rsid w:val="3AD43138"/>
    <w:rsid w:val="3AD50B44"/>
    <w:rsid w:val="3ADD1A06"/>
    <w:rsid w:val="3AE710BD"/>
    <w:rsid w:val="3AF06CC1"/>
    <w:rsid w:val="3B05130C"/>
    <w:rsid w:val="3B111C96"/>
    <w:rsid w:val="3B183E18"/>
    <w:rsid w:val="3B215631"/>
    <w:rsid w:val="3B2D6711"/>
    <w:rsid w:val="3B365BA1"/>
    <w:rsid w:val="3B3F4A55"/>
    <w:rsid w:val="3B4C0F20"/>
    <w:rsid w:val="3B51309B"/>
    <w:rsid w:val="3B563B4D"/>
    <w:rsid w:val="3B7019AF"/>
    <w:rsid w:val="3B883403"/>
    <w:rsid w:val="3B954F85"/>
    <w:rsid w:val="3B96378D"/>
    <w:rsid w:val="3B96663F"/>
    <w:rsid w:val="3B9C0E95"/>
    <w:rsid w:val="3BA23236"/>
    <w:rsid w:val="3BA96A60"/>
    <w:rsid w:val="3BAA4966"/>
    <w:rsid w:val="3BAD094E"/>
    <w:rsid w:val="3BBB7E54"/>
    <w:rsid w:val="3BBD0AD4"/>
    <w:rsid w:val="3BD31641"/>
    <w:rsid w:val="3BEA2181"/>
    <w:rsid w:val="3BEE0229"/>
    <w:rsid w:val="3BF21AC7"/>
    <w:rsid w:val="3BF33A92"/>
    <w:rsid w:val="3BFE5D03"/>
    <w:rsid w:val="3C0248C3"/>
    <w:rsid w:val="3C072215"/>
    <w:rsid w:val="3C167592"/>
    <w:rsid w:val="3C170EB9"/>
    <w:rsid w:val="3C202EE7"/>
    <w:rsid w:val="3C250799"/>
    <w:rsid w:val="3C276162"/>
    <w:rsid w:val="3C2B1BD6"/>
    <w:rsid w:val="3C2C17DF"/>
    <w:rsid w:val="3C3814A4"/>
    <w:rsid w:val="3C396A58"/>
    <w:rsid w:val="3C3C71E7"/>
    <w:rsid w:val="3C476D95"/>
    <w:rsid w:val="3C4B2C56"/>
    <w:rsid w:val="3C574020"/>
    <w:rsid w:val="3C5E1841"/>
    <w:rsid w:val="3C5E53AF"/>
    <w:rsid w:val="3C5F2ED5"/>
    <w:rsid w:val="3C663D83"/>
    <w:rsid w:val="3C664263"/>
    <w:rsid w:val="3C666012"/>
    <w:rsid w:val="3C6A75E0"/>
    <w:rsid w:val="3C714A0F"/>
    <w:rsid w:val="3C74072E"/>
    <w:rsid w:val="3C762FBC"/>
    <w:rsid w:val="3C9108DC"/>
    <w:rsid w:val="3C945361"/>
    <w:rsid w:val="3CA427D7"/>
    <w:rsid w:val="3CA431D4"/>
    <w:rsid w:val="3CA51DAB"/>
    <w:rsid w:val="3CA86B29"/>
    <w:rsid w:val="3CAC710F"/>
    <w:rsid w:val="3CAD3C40"/>
    <w:rsid w:val="3CBD03A6"/>
    <w:rsid w:val="3CCD7E3F"/>
    <w:rsid w:val="3CD15B81"/>
    <w:rsid w:val="3CD41362"/>
    <w:rsid w:val="3CDC27C9"/>
    <w:rsid w:val="3CE068D8"/>
    <w:rsid w:val="3CF21AEE"/>
    <w:rsid w:val="3D000214"/>
    <w:rsid w:val="3D097605"/>
    <w:rsid w:val="3D0A22D5"/>
    <w:rsid w:val="3D0B5F2D"/>
    <w:rsid w:val="3D114B5C"/>
    <w:rsid w:val="3D1837B0"/>
    <w:rsid w:val="3D193B16"/>
    <w:rsid w:val="3D1D2B74"/>
    <w:rsid w:val="3D1E7564"/>
    <w:rsid w:val="3D344362"/>
    <w:rsid w:val="3D3E0D3C"/>
    <w:rsid w:val="3D3F2810"/>
    <w:rsid w:val="3D484D37"/>
    <w:rsid w:val="3D495DF7"/>
    <w:rsid w:val="3D4C3459"/>
    <w:rsid w:val="3D560A59"/>
    <w:rsid w:val="3D6D0EC7"/>
    <w:rsid w:val="3D72758A"/>
    <w:rsid w:val="3D733273"/>
    <w:rsid w:val="3D851633"/>
    <w:rsid w:val="3D875BB8"/>
    <w:rsid w:val="3D9B618F"/>
    <w:rsid w:val="3DA00408"/>
    <w:rsid w:val="3DAE5EC2"/>
    <w:rsid w:val="3DAE7C70"/>
    <w:rsid w:val="3DB42DAD"/>
    <w:rsid w:val="3DBD4357"/>
    <w:rsid w:val="3DBF1661"/>
    <w:rsid w:val="3DC6320C"/>
    <w:rsid w:val="3DC70D32"/>
    <w:rsid w:val="3DCD2D8A"/>
    <w:rsid w:val="3DE561D2"/>
    <w:rsid w:val="3E03620E"/>
    <w:rsid w:val="3E051FCE"/>
    <w:rsid w:val="3E06185A"/>
    <w:rsid w:val="3E1756B6"/>
    <w:rsid w:val="3E1920C0"/>
    <w:rsid w:val="3E2048C2"/>
    <w:rsid w:val="3E28471D"/>
    <w:rsid w:val="3E2B7513"/>
    <w:rsid w:val="3E330175"/>
    <w:rsid w:val="3E33197F"/>
    <w:rsid w:val="3E42659A"/>
    <w:rsid w:val="3E444130"/>
    <w:rsid w:val="3E4C632F"/>
    <w:rsid w:val="3E594080"/>
    <w:rsid w:val="3E5A3954"/>
    <w:rsid w:val="3E5E3BF8"/>
    <w:rsid w:val="3E5F70CE"/>
    <w:rsid w:val="3E610DA9"/>
    <w:rsid w:val="3E645172"/>
    <w:rsid w:val="3E701062"/>
    <w:rsid w:val="3E730F2E"/>
    <w:rsid w:val="3E77442B"/>
    <w:rsid w:val="3E7E697B"/>
    <w:rsid w:val="3E822B0F"/>
    <w:rsid w:val="3E860BED"/>
    <w:rsid w:val="3E907DE5"/>
    <w:rsid w:val="3E9230EE"/>
    <w:rsid w:val="3E94330A"/>
    <w:rsid w:val="3EA42E21"/>
    <w:rsid w:val="3EAA6689"/>
    <w:rsid w:val="3EAC22D5"/>
    <w:rsid w:val="3EAC39B4"/>
    <w:rsid w:val="3EC11BF7"/>
    <w:rsid w:val="3EC7548D"/>
    <w:rsid w:val="3EEA07FE"/>
    <w:rsid w:val="3EF169DA"/>
    <w:rsid w:val="3EF86CC4"/>
    <w:rsid w:val="3EF93089"/>
    <w:rsid w:val="3F042BB6"/>
    <w:rsid w:val="3F0D7BFA"/>
    <w:rsid w:val="3F0E4239"/>
    <w:rsid w:val="3F12422F"/>
    <w:rsid w:val="3F127531"/>
    <w:rsid w:val="3F160DD8"/>
    <w:rsid w:val="3F2B4E96"/>
    <w:rsid w:val="3F3A7BF4"/>
    <w:rsid w:val="3F4A65FB"/>
    <w:rsid w:val="3F507482"/>
    <w:rsid w:val="3F5661ED"/>
    <w:rsid w:val="3F577E93"/>
    <w:rsid w:val="3F5C181E"/>
    <w:rsid w:val="3F5E0B7F"/>
    <w:rsid w:val="3F6263C0"/>
    <w:rsid w:val="3F6525B0"/>
    <w:rsid w:val="3F700303"/>
    <w:rsid w:val="3F755AF4"/>
    <w:rsid w:val="3F7A035D"/>
    <w:rsid w:val="3F7A4AAC"/>
    <w:rsid w:val="3F7F2AED"/>
    <w:rsid w:val="3F827606"/>
    <w:rsid w:val="3F854A01"/>
    <w:rsid w:val="3F8568C6"/>
    <w:rsid w:val="3F895D56"/>
    <w:rsid w:val="3FAF7F99"/>
    <w:rsid w:val="3FB157F6"/>
    <w:rsid w:val="3FBE325D"/>
    <w:rsid w:val="3FC24EFB"/>
    <w:rsid w:val="3FC27A03"/>
    <w:rsid w:val="3FC419CD"/>
    <w:rsid w:val="3FC42D5D"/>
    <w:rsid w:val="3FC470DF"/>
    <w:rsid w:val="3FC64C09"/>
    <w:rsid w:val="3FDD44BD"/>
    <w:rsid w:val="3FEE70B9"/>
    <w:rsid w:val="4016105A"/>
    <w:rsid w:val="403333C5"/>
    <w:rsid w:val="403D352D"/>
    <w:rsid w:val="4044666A"/>
    <w:rsid w:val="4049657B"/>
    <w:rsid w:val="40507088"/>
    <w:rsid w:val="40511B29"/>
    <w:rsid w:val="40525CFA"/>
    <w:rsid w:val="405666DE"/>
    <w:rsid w:val="40580367"/>
    <w:rsid w:val="405A164D"/>
    <w:rsid w:val="405A2653"/>
    <w:rsid w:val="405A7C3B"/>
    <w:rsid w:val="40622EEA"/>
    <w:rsid w:val="406C6FA5"/>
    <w:rsid w:val="40774C91"/>
    <w:rsid w:val="407D09B4"/>
    <w:rsid w:val="407F76A2"/>
    <w:rsid w:val="40892F96"/>
    <w:rsid w:val="408E1F25"/>
    <w:rsid w:val="409D774F"/>
    <w:rsid w:val="40A22DA0"/>
    <w:rsid w:val="40A354E5"/>
    <w:rsid w:val="40A47108"/>
    <w:rsid w:val="40AF10F4"/>
    <w:rsid w:val="40B03322"/>
    <w:rsid w:val="40BB71F1"/>
    <w:rsid w:val="40C444B5"/>
    <w:rsid w:val="40C477AB"/>
    <w:rsid w:val="40E37C31"/>
    <w:rsid w:val="40EF2A79"/>
    <w:rsid w:val="41096B78"/>
    <w:rsid w:val="4109777D"/>
    <w:rsid w:val="410B7187"/>
    <w:rsid w:val="410E327E"/>
    <w:rsid w:val="411F6223"/>
    <w:rsid w:val="41261453"/>
    <w:rsid w:val="412F731A"/>
    <w:rsid w:val="413907FA"/>
    <w:rsid w:val="41390C96"/>
    <w:rsid w:val="413B683F"/>
    <w:rsid w:val="41466C95"/>
    <w:rsid w:val="414B6987"/>
    <w:rsid w:val="4158647C"/>
    <w:rsid w:val="4162324B"/>
    <w:rsid w:val="416A2100"/>
    <w:rsid w:val="416B0B98"/>
    <w:rsid w:val="4175321B"/>
    <w:rsid w:val="417D62D7"/>
    <w:rsid w:val="418F78FA"/>
    <w:rsid w:val="4195768D"/>
    <w:rsid w:val="41A575DC"/>
    <w:rsid w:val="41A605D0"/>
    <w:rsid w:val="41CA3305"/>
    <w:rsid w:val="41CC6A6E"/>
    <w:rsid w:val="41CD3D71"/>
    <w:rsid w:val="41D41C6F"/>
    <w:rsid w:val="41D46746"/>
    <w:rsid w:val="41E50241"/>
    <w:rsid w:val="41ED6B4B"/>
    <w:rsid w:val="41FB5F3A"/>
    <w:rsid w:val="41FD11C6"/>
    <w:rsid w:val="42065175"/>
    <w:rsid w:val="421A38FC"/>
    <w:rsid w:val="42203DE5"/>
    <w:rsid w:val="422A188F"/>
    <w:rsid w:val="423339AE"/>
    <w:rsid w:val="42400071"/>
    <w:rsid w:val="424C7E2A"/>
    <w:rsid w:val="42552DB0"/>
    <w:rsid w:val="425A6618"/>
    <w:rsid w:val="42623E1B"/>
    <w:rsid w:val="42702AE2"/>
    <w:rsid w:val="427A3AB6"/>
    <w:rsid w:val="427B2568"/>
    <w:rsid w:val="427B6090"/>
    <w:rsid w:val="427D5E63"/>
    <w:rsid w:val="428A5209"/>
    <w:rsid w:val="42912540"/>
    <w:rsid w:val="429C0CF7"/>
    <w:rsid w:val="42A32E9D"/>
    <w:rsid w:val="42A37451"/>
    <w:rsid w:val="42A41642"/>
    <w:rsid w:val="42AA632B"/>
    <w:rsid w:val="42AC13EB"/>
    <w:rsid w:val="42AD65BF"/>
    <w:rsid w:val="42AE7F37"/>
    <w:rsid w:val="42B375DC"/>
    <w:rsid w:val="42B9327D"/>
    <w:rsid w:val="42BE145D"/>
    <w:rsid w:val="42C121F4"/>
    <w:rsid w:val="42C8129B"/>
    <w:rsid w:val="42CC28E0"/>
    <w:rsid w:val="42CD2946"/>
    <w:rsid w:val="42D57A4D"/>
    <w:rsid w:val="42DC702D"/>
    <w:rsid w:val="42F02AD9"/>
    <w:rsid w:val="43037BB1"/>
    <w:rsid w:val="4308583C"/>
    <w:rsid w:val="432B1D63"/>
    <w:rsid w:val="433E40E3"/>
    <w:rsid w:val="43430E5B"/>
    <w:rsid w:val="434A21E9"/>
    <w:rsid w:val="434C25F0"/>
    <w:rsid w:val="434D4AE8"/>
    <w:rsid w:val="43512BF1"/>
    <w:rsid w:val="435448CE"/>
    <w:rsid w:val="4355293C"/>
    <w:rsid w:val="43572820"/>
    <w:rsid w:val="43633FF9"/>
    <w:rsid w:val="436B0A40"/>
    <w:rsid w:val="43715519"/>
    <w:rsid w:val="437B5074"/>
    <w:rsid w:val="437E400B"/>
    <w:rsid w:val="43827BD5"/>
    <w:rsid w:val="43882D11"/>
    <w:rsid w:val="438F7B95"/>
    <w:rsid w:val="43993698"/>
    <w:rsid w:val="43AC6A00"/>
    <w:rsid w:val="43B31196"/>
    <w:rsid w:val="43BB720C"/>
    <w:rsid w:val="43BC335F"/>
    <w:rsid w:val="43C55D14"/>
    <w:rsid w:val="43C92B32"/>
    <w:rsid w:val="43CF6B92"/>
    <w:rsid w:val="43D249D4"/>
    <w:rsid w:val="43DA22DE"/>
    <w:rsid w:val="43E15854"/>
    <w:rsid w:val="43EB7ACC"/>
    <w:rsid w:val="43FC1AB4"/>
    <w:rsid w:val="43FE6C26"/>
    <w:rsid w:val="44075192"/>
    <w:rsid w:val="44150A49"/>
    <w:rsid w:val="442A1993"/>
    <w:rsid w:val="442B4CA6"/>
    <w:rsid w:val="442C5D93"/>
    <w:rsid w:val="442F4C28"/>
    <w:rsid w:val="44313E66"/>
    <w:rsid w:val="44332C7D"/>
    <w:rsid w:val="44337121"/>
    <w:rsid w:val="44402F95"/>
    <w:rsid w:val="444058F7"/>
    <w:rsid w:val="444A39F2"/>
    <w:rsid w:val="445A46AE"/>
    <w:rsid w:val="44625310"/>
    <w:rsid w:val="44723521"/>
    <w:rsid w:val="44766987"/>
    <w:rsid w:val="447C0AC8"/>
    <w:rsid w:val="447D407D"/>
    <w:rsid w:val="4488746D"/>
    <w:rsid w:val="448A0E5D"/>
    <w:rsid w:val="44906321"/>
    <w:rsid w:val="449D45F7"/>
    <w:rsid w:val="44A435AA"/>
    <w:rsid w:val="44A872EC"/>
    <w:rsid w:val="44A91136"/>
    <w:rsid w:val="44B85878"/>
    <w:rsid w:val="44C07EB7"/>
    <w:rsid w:val="44C41CD0"/>
    <w:rsid w:val="44EB55BF"/>
    <w:rsid w:val="44F06DC0"/>
    <w:rsid w:val="44FF7003"/>
    <w:rsid w:val="45034D45"/>
    <w:rsid w:val="45091C30"/>
    <w:rsid w:val="450D7972"/>
    <w:rsid w:val="45132AAF"/>
    <w:rsid w:val="4516216D"/>
    <w:rsid w:val="45191600"/>
    <w:rsid w:val="451E392D"/>
    <w:rsid w:val="451F0B3D"/>
    <w:rsid w:val="452A57C8"/>
    <w:rsid w:val="452D2698"/>
    <w:rsid w:val="454679C8"/>
    <w:rsid w:val="454E3658"/>
    <w:rsid w:val="45717F01"/>
    <w:rsid w:val="4577303D"/>
    <w:rsid w:val="457C2402"/>
    <w:rsid w:val="45836B41"/>
    <w:rsid w:val="459552ED"/>
    <w:rsid w:val="459D30ED"/>
    <w:rsid w:val="45A007E6"/>
    <w:rsid w:val="45A57BAB"/>
    <w:rsid w:val="45BA3A93"/>
    <w:rsid w:val="45CC3389"/>
    <w:rsid w:val="45D32B9D"/>
    <w:rsid w:val="45D51F09"/>
    <w:rsid w:val="45E335B5"/>
    <w:rsid w:val="45F02746"/>
    <w:rsid w:val="46072FDC"/>
    <w:rsid w:val="460B338D"/>
    <w:rsid w:val="460B44C8"/>
    <w:rsid w:val="460B61E8"/>
    <w:rsid w:val="46136A51"/>
    <w:rsid w:val="46144FA7"/>
    <w:rsid w:val="461F3C01"/>
    <w:rsid w:val="462D4AD7"/>
    <w:rsid w:val="462F69D8"/>
    <w:rsid w:val="46330998"/>
    <w:rsid w:val="463E6D3E"/>
    <w:rsid w:val="46445615"/>
    <w:rsid w:val="46566AA9"/>
    <w:rsid w:val="465A4D7A"/>
    <w:rsid w:val="465D2B1C"/>
    <w:rsid w:val="46661558"/>
    <w:rsid w:val="466A3548"/>
    <w:rsid w:val="466C4AED"/>
    <w:rsid w:val="46821C9A"/>
    <w:rsid w:val="46967F5B"/>
    <w:rsid w:val="46982F38"/>
    <w:rsid w:val="46AC6D17"/>
    <w:rsid w:val="46AE2A8F"/>
    <w:rsid w:val="46B05B1F"/>
    <w:rsid w:val="46B35E11"/>
    <w:rsid w:val="46B81B60"/>
    <w:rsid w:val="46BA27BC"/>
    <w:rsid w:val="46BC6770"/>
    <w:rsid w:val="46C10A14"/>
    <w:rsid w:val="46C6602A"/>
    <w:rsid w:val="46CD068A"/>
    <w:rsid w:val="46CE5B41"/>
    <w:rsid w:val="46CF7E90"/>
    <w:rsid w:val="46D13DB8"/>
    <w:rsid w:val="46D34FC7"/>
    <w:rsid w:val="46EB7AE7"/>
    <w:rsid w:val="47134FE8"/>
    <w:rsid w:val="47240834"/>
    <w:rsid w:val="47267848"/>
    <w:rsid w:val="472F1E22"/>
    <w:rsid w:val="47354F5E"/>
    <w:rsid w:val="47376F28"/>
    <w:rsid w:val="47413AAE"/>
    <w:rsid w:val="47546CCD"/>
    <w:rsid w:val="475567CD"/>
    <w:rsid w:val="475B3DA3"/>
    <w:rsid w:val="475F022D"/>
    <w:rsid w:val="47681593"/>
    <w:rsid w:val="477261B2"/>
    <w:rsid w:val="4777055B"/>
    <w:rsid w:val="477F442B"/>
    <w:rsid w:val="478039D4"/>
    <w:rsid w:val="47841A42"/>
    <w:rsid w:val="478D3B1B"/>
    <w:rsid w:val="479E642E"/>
    <w:rsid w:val="47A20A59"/>
    <w:rsid w:val="47B5458F"/>
    <w:rsid w:val="47B71E17"/>
    <w:rsid w:val="47C1238D"/>
    <w:rsid w:val="47CA56A6"/>
    <w:rsid w:val="47CB0AA5"/>
    <w:rsid w:val="47E04ECA"/>
    <w:rsid w:val="47E246F7"/>
    <w:rsid w:val="47E76F91"/>
    <w:rsid w:val="47E95175"/>
    <w:rsid w:val="47FF0DAF"/>
    <w:rsid w:val="48030380"/>
    <w:rsid w:val="480A1F47"/>
    <w:rsid w:val="48185A6B"/>
    <w:rsid w:val="481B6200"/>
    <w:rsid w:val="481D4BC7"/>
    <w:rsid w:val="48273A4D"/>
    <w:rsid w:val="483B06FE"/>
    <w:rsid w:val="483F2C13"/>
    <w:rsid w:val="4840005F"/>
    <w:rsid w:val="48474F49"/>
    <w:rsid w:val="48490C72"/>
    <w:rsid w:val="484A471E"/>
    <w:rsid w:val="485162E7"/>
    <w:rsid w:val="48560B58"/>
    <w:rsid w:val="485853A8"/>
    <w:rsid w:val="48615205"/>
    <w:rsid w:val="486755EB"/>
    <w:rsid w:val="486B3599"/>
    <w:rsid w:val="486C0E54"/>
    <w:rsid w:val="486F3FB1"/>
    <w:rsid w:val="487452ED"/>
    <w:rsid w:val="48811DA0"/>
    <w:rsid w:val="488937B4"/>
    <w:rsid w:val="48936FC5"/>
    <w:rsid w:val="489414DE"/>
    <w:rsid w:val="489839F7"/>
    <w:rsid w:val="48A028AB"/>
    <w:rsid w:val="48A61185"/>
    <w:rsid w:val="48B9571B"/>
    <w:rsid w:val="48BD61CD"/>
    <w:rsid w:val="48C34DDE"/>
    <w:rsid w:val="48D17B15"/>
    <w:rsid w:val="48D3318F"/>
    <w:rsid w:val="48F814A8"/>
    <w:rsid w:val="490B241B"/>
    <w:rsid w:val="491171A1"/>
    <w:rsid w:val="49130880"/>
    <w:rsid w:val="49253D5B"/>
    <w:rsid w:val="4927647B"/>
    <w:rsid w:val="492C5797"/>
    <w:rsid w:val="49325BF9"/>
    <w:rsid w:val="494F5835"/>
    <w:rsid w:val="495013A9"/>
    <w:rsid w:val="495F48E7"/>
    <w:rsid w:val="4960100D"/>
    <w:rsid w:val="496E4757"/>
    <w:rsid w:val="49747FC0"/>
    <w:rsid w:val="49787384"/>
    <w:rsid w:val="497F4DF8"/>
    <w:rsid w:val="49804F41"/>
    <w:rsid w:val="498756BC"/>
    <w:rsid w:val="498E0956"/>
    <w:rsid w:val="49973CAE"/>
    <w:rsid w:val="499C2D6D"/>
    <w:rsid w:val="499C6472"/>
    <w:rsid w:val="49A168DB"/>
    <w:rsid w:val="49B02FC2"/>
    <w:rsid w:val="49B55DC7"/>
    <w:rsid w:val="49B8094B"/>
    <w:rsid w:val="49BF7880"/>
    <w:rsid w:val="49C82B49"/>
    <w:rsid w:val="49C90224"/>
    <w:rsid w:val="49D56C49"/>
    <w:rsid w:val="49D855C7"/>
    <w:rsid w:val="49E30CA1"/>
    <w:rsid w:val="49EC4258"/>
    <w:rsid w:val="49F509D5"/>
    <w:rsid w:val="49F80512"/>
    <w:rsid w:val="49FA168E"/>
    <w:rsid w:val="49FE5ADB"/>
    <w:rsid w:val="4A087954"/>
    <w:rsid w:val="4A0C520E"/>
    <w:rsid w:val="4A1C4183"/>
    <w:rsid w:val="4A21436D"/>
    <w:rsid w:val="4A263F01"/>
    <w:rsid w:val="4A286FFC"/>
    <w:rsid w:val="4A315EB1"/>
    <w:rsid w:val="4A407298"/>
    <w:rsid w:val="4A4658CB"/>
    <w:rsid w:val="4A4C0758"/>
    <w:rsid w:val="4A4C1CC9"/>
    <w:rsid w:val="4A4D6947"/>
    <w:rsid w:val="4A631DE2"/>
    <w:rsid w:val="4A7F1D52"/>
    <w:rsid w:val="4A854E3F"/>
    <w:rsid w:val="4AA448D5"/>
    <w:rsid w:val="4AAB146E"/>
    <w:rsid w:val="4AB23A41"/>
    <w:rsid w:val="4AB34B18"/>
    <w:rsid w:val="4AB56AE2"/>
    <w:rsid w:val="4AC7411F"/>
    <w:rsid w:val="4ACB00B3"/>
    <w:rsid w:val="4AE0041E"/>
    <w:rsid w:val="4AE64EED"/>
    <w:rsid w:val="4AEC4966"/>
    <w:rsid w:val="4AED724C"/>
    <w:rsid w:val="4AF850BA"/>
    <w:rsid w:val="4AF85ABD"/>
    <w:rsid w:val="4AFB4F34"/>
    <w:rsid w:val="4AFF7D5D"/>
    <w:rsid w:val="4B130467"/>
    <w:rsid w:val="4B1338CC"/>
    <w:rsid w:val="4B172B12"/>
    <w:rsid w:val="4B262EBA"/>
    <w:rsid w:val="4B29302C"/>
    <w:rsid w:val="4B313C65"/>
    <w:rsid w:val="4B3F1EC7"/>
    <w:rsid w:val="4B481704"/>
    <w:rsid w:val="4B531F8D"/>
    <w:rsid w:val="4B662E8B"/>
    <w:rsid w:val="4B726781"/>
    <w:rsid w:val="4B790FD9"/>
    <w:rsid w:val="4B82772E"/>
    <w:rsid w:val="4B895879"/>
    <w:rsid w:val="4B8D450C"/>
    <w:rsid w:val="4B943B21"/>
    <w:rsid w:val="4BA24BCE"/>
    <w:rsid w:val="4BA6467C"/>
    <w:rsid w:val="4BAB096B"/>
    <w:rsid w:val="4BAF7E06"/>
    <w:rsid w:val="4BBB3716"/>
    <w:rsid w:val="4BCB7C3F"/>
    <w:rsid w:val="4BD46636"/>
    <w:rsid w:val="4BD72BEE"/>
    <w:rsid w:val="4BDC67D7"/>
    <w:rsid w:val="4BDC6A3D"/>
    <w:rsid w:val="4BDD02B0"/>
    <w:rsid w:val="4BE64A79"/>
    <w:rsid w:val="4BEE45CB"/>
    <w:rsid w:val="4BF44F19"/>
    <w:rsid w:val="4BFB49C8"/>
    <w:rsid w:val="4BFF5B3B"/>
    <w:rsid w:val="4C082496"/>
    <w:rsid w:val="4C08678F"/>
    <w:rsid w:val="4C0A2186"/>
    <w:rsid w:val="4C1B5AC4"/>
    <w:rsid w:val="4C1E06B7"/>
    <w:rsid w:val="4C343A36"/>
    <w:rsid w:val="4C35155C"/>
    <w:rsid w:val="4C355C75"/>
    <w:rsid w:val="4C39104D"/>
    <w:rsid w:val="4C396B73"/>
    <w:rsid w:val="4C3E2B07"/>
    <w:rsid w:val="4C426781"/>
    <w:rsid w:val="4C4C5496"/>
    <w:rsid w:val="4C520360"/>
    <w:rsid w:val="4C577725"/>
    <w:rsid w:val="4C681932"/>
    <w:rsid w:val="4C6A1CEF"/>
    <w:rsid w:val="4C6C3432"/>
    <w:rsid w:val="4C6E655E"/>
    <w:rsid w:val="4C77415F"/>
    <w:rsid w:val="4C7C7F92"/>
    <w:rsid w:val="4C854697"/>
    <w:rsid w:val="4C891FD4"/>
    <w:rsid w:val="4C8C21FB"/>
    <w:rsid w:val="4C907331"/>
    <w:rsid w:val="4C920356"/>
    <w:rsid w:val="4C934C01"/>
    <w:rsid w:val="4C9D08B4"/>
    <w:rsid w:val="4C9E5354"/>
    <w:rsid w:val="4CA66198"/>
    <w:rsid w:val="4CAA102F"/>
    <w:rsid w:val="4CB14655"/>
    <w:rsid w:val="4CB15087"/>
    <w:rsid w:val="4CB33E17"/>
    <w:rsid w:val="4CC80B92"/>
    <w:rsid w:val="4CC92C3A"/>
    <w:rsid w:val="4CD40762"/>
    <w:rsid w:val="4CD82614"/>
    <w:rsid w:val="4CE01489"/>
    <w:rsid w:val="4CEB3C7C"/>
    <w:rsid w:val="4CEB74B6"/>
    <w:rsid w:val="4CF50A59"/>
    <w:rsid w:val="4CF8202F"/>
    <w:rsid w:val="4CFD4AAA"/>
    <w:rsid w:val="4D021D86"/>
    <w:rsid w:val="4D182801"/>
    <w:rsid w:val="4D1836FB"/>
    <w:rsid w:val="4D1A7DCB"/>
    <w:rsid w:val="4D314D5A"/>
    <w:rsid w:val="4D386C53"/>
    <w:rsid w:val="4D3E07AA"/>
    <w:rsid w:val="4D533AAF"/>
    <w:rsid w:val="4D53613E"/>
    <w:rsid w:val="4D761E2D"/>
    <w:rsid w:val="4D79073E"/>
    <w:rsid w:val="4D7B0185"/>
    <w:rsid w:val="4D862070"/>
    <w:rsid w:val="4D903AF1"/>
    <w:rsid w:val="4D9B019C"/>
    <w:rsid w:val="4D9E34B9"/>
    <w:rsid w:val="4DAC7F99"/>
    <w:rsid w:val="4DBF1187"/>
    <w:rsid w:val="4DBF6851"/>
    <w:rsid w:val="4DC90683"/>
    <w:rsid w:val="4DC94ACF"/>
    <w:rsid w:val="4DDD3476"/>
    <w:rsid w:val="4DE047C5"/>
    <w:rsid w:val="4DE17BEE"/>
    <w:rsid w:val="4DE54991"/>
    <w:rsid w:val="4DF05258"/>
    <w:rsid w:val="4E094A4F"/>
    <w:rsid w:val="4E0F475B"/>
    <w:rsid w:val="4E1B3100"/>
    <w:rsid w:val="4E1F24C4"/>
    <w:rsid w:val="4E233B70"/>
    <w:rsid w:val="4E252D2A"/>
    <w:rsid w:val="4E263853"/>
    <w:rsid w:val="4E3E0822"/>
    <w:rsid w:val="4E3E47EC"/>
    <w:rsid w:val="4E3F795C"/>
    <w:rsid w:val="4E40707C"/>
    <w:rsid w:val="4E42373A"/>
    <w:rsid w:val="4E4B32B9"/>
    <w:rsid w:val="4E507D99"/>
    <w:rsid w:val="4E557C94"/>
    <w:rsid w:val="4E58415E"/>
    <w:rsid w:val="4E597784"/>
    <w:rsid w:val="4E712D20"/>
    <w:rsid w:val="4E807407"/>
    <w:rsid w:val="4E816CDB"/>
    <w:rsid w:val="4E866E0A"/>
    <w:rsid w:val="4E8B3169"/>
    <w:rsid w:val="4E8D2056"/>
    <w:rsid w:val="4E8F13F8"/>
    <w:rsid w:val="4EA54365"/>
    <w:rsid w:val="4EAE3B97"/>
    <w:rsid w:val="4EBB286E"/>
    <w:rsid w:val="4EBC4F03"/>
    <w:rsid w:val="4ED212E5"/>
    <w:rsid w:val="4ED21F42"/>
    <w:rsid w:val="4EDF237F"/>
    <w:rsid w:val="4EE07940"/>
    <w:rsid w:val="4EE80B08"/>
    <w:rsid w:val="4EEC5046"/>
    <w:rsid w:val="4EF179BD"/>
    <w:rsid w:val="4EF647A8"/>
    <w:rsid w:val="4EF76209"/>
    <w:rsid w:val="4F0411B9"/>
    <w:rsid w:val="4F093E78"/>
    <w:rsid w:val="4F1D2082"/>
    <w:rsid w:val="4F1E444B"/>
    <w:rsid w:val="4F280A7B"/>
    <w:rsid w:val="4F2B223C"/>
    <w:rsid w:val="4F2C416E"/>
    <w:rsid w:val="4F343AF1"/>
    <w:rsid w:val="4F3B0396"/>
    <w:rsid w:val="4F3E697A"/>
    <w:rsid w:val="4F4D0E89"/>
    <w:rsid w:val="4F4E7228"/>
    <w:rsid w:val="4F4F0B87"/>
    <w:rsid w:val="4F5464CE"/>
    <w:rsid w:val="4F55307E"/>
    <w:rsid w:val="4F697E9B"/>
    <w:rsid w:val="4F6F5219"/>
    <w:rsid w:val="4F702FD7"/>
    <w:rsid w:val="4F73353F"/>
    <w:rsid w:val="4F8E4B27"/>
    <w:rsid w:val="4F907AA4"/>
    <w:rsid w:val="4F9D5D96"/>
    <w:rsid w:val="4FA60918"/>
    <w:rsid w:val="4FB21842"/>
    <w:rsid w:val="4FB476B5"/>
    <w:rsid w:val="4FB8497E"/>
    <w:rsid w:val="4FB9303A"/>
    <w:rsid w:val="4FBC4BF4"/>
    <w:rsid w:val="4FD116E0"/>
    <w:rsid w:val="4FD65B1E"/>
    <w:rsid w:val="4FE6735A"/>
    <w:rsid w:val="4FF45589"/>
    <w:rsid w:val="4FF534DD"/>
    <w:rsid w:val="50010D46"/>
    <w:rsid w:val="50051405"/>
    <w:rsid w:val="500832F8"/>
    <w:rsid w:val="500854A4"/>
    <w:rsid w:val="501136F0"/>
    <w:rsid w:val="502256AD"/>
    <w:rsid w:val="502A587C"/>
    <w:rsid w:val="50334005"/>
    <w:rsid w:val="504215FA"/>
    <w:rsid w:val="50451DB7"/>
    <w:rsid w:val="50461F8A"/>
    <w:rsid w:val="504B341D"/>
    <w:rsid w:val="504B791D"/>
    <w:rsid w:val="50830AE8"/>
    <w:rsid w:val="50854B9E"/>
    <w:rsid w:val="508F60CA"/>
    <w:rsid w:val="50923421"/>
    <w:rsid w:val="50942CF5"/>
    <w:rsid w:val="5095081C"/>
    <w:rsid w:val="50981162"/>
    <w:rsid w:val="50A078EC"/>
    <w:rsid w:val="50B52C6C"/>
    <w:rsid w:val="50BC7B28"/>
    <w:rsid w:val="50C06385"/>
    <w:rsid w:val="50CE6418"/>
    <w:rsid w:val="50CF71DC"/>
    <w:rsid w:val="50D0555A"/>
    <w:rsid w:val="50D40BCA"/>
    <w:rsid w:val="50D70E9D"/>
    <w:rsid w:val="50E81293"/>
    <w:rsid w:val="50EC48E0"/>
    <w:rsid w:val="50F33EC0"/>
    <w:rsid w:val="50F35D93"/>
    <w:rsid w:val="50FA44CD"/>
    <w:rsid w:val="50FA6609"/>
    <w:rsid w:val="510036F5"/>
    <w:rsid w:val="5105303B"/>
    <w:rsid w:val="51114085"/>
    <w:rsid w:val="511216F1"/>
    <w:rsid w:val="5119144D"/>
    <w:rsid w:val="512A17AD"/>
    <w:rsid w:val="512A1CE3"/>
    <w:rsid w:val="512F2A1E"/>
    <w:rsid w:val="514516F1"/>
    <w:rsid w:val="514937E7"/>
    <w:rsid w:val="51506FDF"/>
    <w:rsid w:val="51532BB1"/>
    <w:rsid w:val="51545650"/>
    <w:rsid w:val="516E7D73"/>
    <w:rsid w:val="51777A1C"/>
    <w:rsid w:val="5180209A"/>
    <w:rsid w:val="51897721"/>
    <w:rsid w:val="519667AD"/>
    <w:rsid w:val="51973EE4"/>
    <w:rsid w:val="51984A67"/>
    <w:rsid w:val="51A84D41"/>
    <w:rsid w:val="51AA2482"/>
    <w:rsid w:val="51AC096F"/>
    <w:rsid w:val="51B1317F"/>
    <w:rsid w:val="51B66C9C"/>
    <w:rsid w:val="51B74D7E"/>
    <w:rsid w:val="51C07B1A"/>
    <w:rsid w:val="51C23429"/>
    <w:rsid w:val="51C27ACF"/>
    <w:rsid w:val="51CD1021"/>
    <w:rsid w:val="51DA5080"/>
    <w:rsid w:val="51DB1E92"/>
    <w:rsid w:val="51E14E39"/>
    <w:rsid w:val="51ED757F"/>
    <w:rsid w:val="5201260D"/>
    <w:rsid w:val="5211008F"/>
    <w:rsid w:val="52150A7D"/>
    <w:rsid w:val="522B768A"/>
    <w:rsid w:val="52414306"/>
    <w:rsid w:val="524424F9"/>
    <w:rsid w:val="52457AEB"/>
    <w:rsid w:val="52564EE5"/>
    <w:rsid w:val="525A7F6F"/>
    <w:rsid w:val="52666F95"/>
    <w:rsid w:val="526763FB"/>
    <w:rsid w:val="52741EC2"/>
    <w:rsid w:val="52917F8D"/>
    <w:rsid w:val="52972F71"/>
    <w:rsid w:val="529945F3"/>
    <w:rsid w:val="52CA2422"/>
    <w:rsid w:val="52CD24EF"/>
    <w:rsid w:val="52D84DB4"/>
    <w:rsid w:val="52D970E6"/>
    <w:rsid w:val="52DE2D8D"/>
    <w:rsid w:val="52E55A8A"/>
    <w:rsid w:val="52E723A3"/>
    <w:rsid w:val="52F7005F"/>
    <w:rsid w:val="52F83A10"/>
    <w:rsid w:val="530916BC"/>
    <w:rsid w:val="530F0D59"/>
    <w:rsid w:val="53102992"/>
    <w:rsid w:val="5311687F"/>
    <w:rsid w:val="531511DA"/>
    <w:rsid w:val="531820EF"/>
    <w:rsid w:val="532742F5"/>
    <w:rsid w:val="532A5B93"/>
    <w:rsid w:val="53336AAE"/>
    <w:rsid w:val="533A136C"/>
    <w:rsid w:val="5345477B"/>
    <w:rsid w:val="53480B19"/>
    <w:rsid w:val="5355264E"/>
    <w:rsid w:val="535B3E67"/>
    <w:rsid w:val="535F2BBA"/>
    <w:rsid w:val="53606C6E"/>
    <w:rsid w:val="536270DB"/>
    <w:rsid w:val="53670B95"/>
    <w:rsid w:val="537053BE"/>
    <w:rsid w:val="53733096"/>
    <w:rsid w:val="537806AC"/>
    <w:rsid w:val="537C67BA"/>
    <w:rsid w:val="538A03E0"/>
    <w:rsid w:val="53AF337A"/>
    <w:rsid w:val="53B26284"/>
    <w:rsid w:val="53B35B89"/>
    <w:rsid w:val="53B759F4"/>
    <w:rsid w:val="53B82303"/>
    <w:rsid w:val="53CB0C80"/>
    <w:rsid w:val="53D225A4"/>
    <w:rsid w:val="53DF4479"/>
    <w:rsid w:val="53DF7FDD"/>
    <w:rsid w:val="53ED0228"/>
    <w:rsid w:val="54057D5B"/>
    <w:rsid w:val="54157C9B"/>
    <w:rsid w:val="541859EC"/>
    <w:rsid w:val="54186AD3"/>
    <w:rsid w:val="541F321E"/>
    <w:rsid w:val="54371F77"/>
    <w:rsid w:val="54385F47"/>
    <w:rsid w:val="543A5047"/>
    <w:rsid w:val="543B112A"/>
    <w:rsid w:val="544007A8"/>
    <w:rsid w:val="544009A5"/>
    <w:rsid w:val="544A4D29"/>
    <w:rsid w:val="54547B86"/>
    <w:rsid w:val="545C3A8F"/>
    <w:rsid w:val="545D0418"/>
    <w:rsid w:val="545E0121"/>
    <w:rsid w:val="546A3396"/>
    <w:rsid w:val="546D3A6A"/>
    <w:rsid w:val="54760B52"/>
    <w:rsid w:val="547846DC"/>
    <w:rsid w:val="547B501F"/>
    <w:rsid w:val="5481317B"/>
    <w:rsid w:val="54815C87"/>
    <w:rsid w:val="54905311"/>
    <w:rsid w:val="549239F0"/>
    <w:rsid w:val="5494027A"/>
    <w:rsid w:val="549A28A4"/>
    <w:rsid w:val="54A21918"/>
    <w:rsid w:val="54AA76FF"/>
    <w:rsid w:val="54B92F65"/>
    <w:rsid w:val="54DA00AC"/>
    <w:rsid w:val="54DE5937"/>
    <w:rsid w:val="54E05AE9"/>
    <w:rsid w:val="54E82ECC"/>
    <w:rsid w:val="54EA0F6C"/>
    <w:rsid w:val="54EE3640"/>
    <w:rsid w:val="54FB1595"/>
    <w:rsid w:val="54FB3C17"/>
    <w:rsid w:val="54FD1FA6"/>
    <w:rsid w:val="54FD2A1F"/>
    <w:rsid w:val="5506340E"/>
    <w:rsid w:val="550F5041"/>
    <w:rsid w:val="55110DB9"/>
    <w:rsid w:val="55122FC4"/>
    <w:rsid w:val="55142657"/>
    <w:rsid w:val="551D59AF"/>
    <w:rsid w:val="5521265B"/>
    <w:rsid w:val="55220DA5"/>
    <w:rsid w:val="55272CCA"/>
    <w:rsid w:val="552B579B"/>
    <w:rsid w:val="552D196B"/>
    <w:rsid w:val="55391FB7"/>
    <w:rsid w:val="5540021F"/>
    <w:rsid w:val="55487F01"/>
    <w:rsid w:val="5552317F"/>
    <w:rsid w:val="55533741"/>
    <w:rsid w:val="55540CA5"/>
    <w:rsid w:val="55585C9D"/>
    <w:rsid w:val="555C6E60"/>
    <w:rsid w:val="55674E7D"/>
    <w:rsid w:val="556A671B"/>
    <w:rsid w:val="556B7BE3"/>
    <w:rsid w:val="556E398A"/>
    <w:rsid w:val="55711857"/>
    <w:rsid w:val="558114B8"/>
    <w:rsid w:val="55813D78"/>
    <w:rsid w:val="558A38DC"/>
    <w:rsid w:val="55910F8E"/>
    <w:rsid w:val="55937A20"/>
    <w:rsid w:val="55A14EBE"/>
    <w:rsid w:val="55AB500F"/>
    <w:rsid w:val="55AE5827"/>
    <w:rsid w:val="55B256C0"/>
    <w:rsid w:val="55BF1E12"/>
    <w:rsid w:val="55C73811"/>
    <w:rsid w:val="55C73B6D"/>
    <w:rsid w:val="55D1679A"/>
    <w:rsid w:val="55DF0EB7"/>
    <w:rsid w:val="55DF79E5"/>
    <w:rsid w:val="55F304BE"/>
    <w:rsid w:val="55F54236"/>
    <w:rsid w:val="55F935FB"/>
    <w:rsid w:val="5611384C"/>
    <w:rsid w:val="561B28DD"/>
    <w:rsid w:val="561D05FE"/>
    <w:rsid w:val="56336078"/>
    <w:rsid w:val="5635520A"/>
    <w:rsid w:val="563F3703"/>
    <w:rsid w:val="56460CB2"/>
    <w:rsid w:val="564846E1"/>
    <w:rsid w:val="565371AF"/>
    <w:rsid w:val="565D1DDC"/>
    <w:rsid w:val="566056C5"/>
    <w:rsid w:val="56641FF0"/>
    <w:rsid w:val="566B274A"/>
    <w:rsid w:val="566B44F9"/>
    <w:rsid w:val="566C0CDE"/>
    <w:rsid w:val="567A298E"/>
    <w:rsid w:val="567F34E2"/>
    <w:rsid w:val="5682067E"/>
    <w:rsid w:val="56840D14"/>
    <w:rsid w:val="568868CC"/>
    <w:rsid w:val="568B6949"/>
    <w:rsid w:val="568D26C1"/>
    <w:rsid w:val="56915211"/>
    <w:rsid w:val="56933527"/>
    <w:rsid w:val="56981066"/>
    <w:rsid w:val="56994311"/>
    <w:rsid w:val="569C4AD4"/>
    <w:rsid w:val="569F0646"/>
    <w:rsid w:val="56A90562"/>
    <w:rsid w:val="56AD325A"/>
    <w:rsid w:val="56AD47B1"/>
    <w:rsid w:val="56B913AD"/>
    <w:rsid w:val="56D77999"/>
    <w:rsid w:val="56DA0859"/>
    <w:rsid w:val="56DC35DD"/>
    <w:rsid w:val="56E17318"/>
    <w:rsid w:val="56FD590E"/>
    <w:rsid w:val="56FE257B"/>
    <w:rsid w:val="570109B9"/>
    <w:rsid w:val="57036880"/>
    <w:rsid w:val="57062473"/>
    <w:rsid w:val="571C1B2C"/>
    <w:rsid w:val="57201787"/>
    <w:rsid w:val="57203535"/>
    <w:rsid w:val="572D7A00"/>
    <w:rsid w:val="57305E26"/>
    <w:rsid w:val="57314C5A"/>
    <w:rsid w:val="573214BA"/>
    <w:rsid w:val="574216FD"/>
    <w:rsid w:val="574A5794"/>
    <w:rsid w:val="575A261C"/>
    <w:rsid w:val="576146CD"/>
    <w:rsid w:val="576F1DC6"/>
    <w:rsid w:val="57715B3F"/>
    <w:rsid w:val="578549D9"/>
    <w:rsid w:val="578A4E52"/>
    <w:rsid w:val="57971413"/>
    <w:rsid w:val="57A6426A"/>
    <w:rsid w:val="57C87729"/>
    <w:rsid w:val="57D44123"/>
    <w:rsid w:val="57D85BBE"/>
    <w:rsid w:val="57DA5D90"/>
    <w:rsid w:val="57E01724"/>
    <w:rsid w:val="57E97DCB"/>
    <w:rsid w:val="57EE3633"/>
    <w:rsid w:val="57F307C1"/>
    <w:rsid w:val="57FA2BAA"/>
    <w:rsid w:val="57FA43F1"/>
    <w:rsid w:val="580162E5"/>
    <w:rsid w:val="58041F34"/>
    <w:rsid w:val="580B52EE"/>
    <w:rsid w:val="5815497A"/>
    <w:rsid w:val="581C6799"/>
    <w:rsid w:val="58226E39"/>
    <w:rsid w:val="58327181"/>
    <w:rsid w:val="584274DB"/>
    <w:rsid w:val="58505F09"/>
    <w:rsid w:val="585D149C"/>
    <w:rsid w:val="585F008D"/>
    <w:rsid w:val="586621B6"/>
    <w:rsid w:val="586E02D0"/>
    <w:rsid w:val="58711B6E"/>
    <w:rsid w:val="587C29ED"/>
    <w:rsid w:val="58953AAF"/>
    <w:rsid w:val="5898359F"/>
    <w:rsid w:val="589C683B"/>
    <w:rsid w:val="589D2963"/>
    <w:rsid w:val="589E61B4"/>
    <w:rsid w:val="58AC2BA6"/>
    <w:rsid w:val="58AE688D"/>
    <w:rsid w:val="58B9588A"/>
    <w:rsid w:val="58BF6D7E"/>
    <w:rsid w:val="58C14572"/>
    <w:rsid w:val="58C24BD6"/>
    <w:rsid w:val="58C73AD7"/>
    <w:rsid w:val="58C85C32"/>
    <w:rsid w:val="58CB74D0"/>
    <w:rsid w:val="58D6433D"/>
    <w:rsid w:val="58DA2920"/>
    <w:rsid w:val="58EF3D74"/>
    <w:rsid w:val="58F020A3"/>
    <w:rsid w:val="58FB332B"/>
    <w:rsid w:val="590617C1"/>
    <w:rsid w:val="59183C8D"/>
    <w:rsid w:val="59540A82"/>
    <w:rsid w:val="59554FEC"/>
    <w:rsid w:val="59594578"/>
    <w:rsid w:val="595A3A86"/>
    <w:rsid w:val="59622CB3"/>
    <w:rsid w:val="59631729"/>
    <w:rsid w:val="59665797"/>
    <w:rsid w:val="59710ED9"/>
    <w:rsid w:val="59725B9E"/>
    <w:rsid w:val="5981606D"/>
    <w:rsid w:val="598A7A09"/>
    <w:rsid w:val="599B09E5"/>
    <w:rsid w:val="59A22783"/>
    <w:rsid w:val="59AC2F6B"/>
    <w:rsid w:val="59B33075"/>
    <w:rsid w:val="59B63D96"/>
    <w:rsid w:val="59B91A1F"/>
    <w:rsid w:val="59B9557B"/>
    <w:rsid w:val="59BC3A5D"/>
    <w:rsid w:val="59C13ED2"/>
    <w:rsid w:val="59C4289D"/>
    <w:rsid w:val="59C52172"/>
    <w:rsid w:val="59D1723E"/>
    <w:rsid w:val="59E135B0"/>
    <w:rsid w:val="59E6253A"/>
    <w:rsid w:val="59E7033F"/>
    <w:rsid w:val="59FA6FAF"/>
    <w:rsid w:val="5A002EB1"/>
    <w:rsid w:val="5A0354F7"/>
    <w:rsid w:val="5A07278A"/>
    <w:rsid w:val="5A095F04"/>
    <w:rsid w:val="5A0C1B4F"/>
    <w:rsid w:val="5A0F24EE"/>
    <w:rsid w:val="5A1924BD"/>
    <w:rsid w:val="5A1E5359"/>
    <w:rsid w:val="5A1E613F"/>
    <w:rsid w:val="5A291824"/>
    <w:rsid w:val="5A2C091C"/>
    <w:rsid w:val="5A2C6822"/>
    <w:rsid w:val="5A344ECC"/>
    <w:rsid w:val="5A390B46"/>
    <w:rsid w:val="5A3E5D04"/>
    <w:rsid w:val="5A492723"/>
    <w:rsid w:val="5A5D74BC"/>
    <w:rsid w:val="5A623E64"/>
    <w:rsid w:val="5A655703"/>
    <w:rsid w:val="5A7A7400"/>
    <w:rsid w:val="5A7C5C8F"/>
    <w:rsid w:val="5A90403D"/>
    <w:rsid w:val="5A9D71ED"/>
    <w:rsid w:val="5AA2571A"/>
    <w:rsid w:val="5AA54B79"/>
    <w:rsid w:val="5AB04EDE"/>
    <w:rsid w:val="5AB51D50"/>
    <w:rsid w:val="5AC64C86"/>
    <w:rsid w:val="5ACF4A76"/>
    <w:rsid w:val="5AD51064"/>
    <w:rsid w:val="5ADE295C"/>
    <w:rsid w:val="5AF01470"/>
    <w:rsid w:val="5AF8170C"/>
    <w:rsid w:val="5AF90765"/>
    <w:rsid w:val="5AFE1DDF"/>
    <w:rsid w:val="5B05555C"/>
    <w:rsid w:val="5B12588A"/>
    <w:rsid w:val="5B1649CC"/>
    <w:rsid w:val="5B1F6DAD"/>
    <w:rsid w:val="5B2353A2"/>
    <w:rsid w:val="5B240C6E"/>
    <w:rsid w:val="5B244DD8"/>
    <w:rsid w:val="5B2717CA"/>
    <w:rsid w:val="5B295890"/>
    <w:rsid w:val="5B2E4556"/>
    <w:rsid w:val="5B3879B9"/>
    <w:rsid w:val="5B436EF0"/>
    <w:rsid w:val="5B4D2B80"/>
    <w:rsid w:val="5B500161"/>
    <w:rsid w:val="5B550806"/>
    <w:rsid w:val="5B6634E0"/>
    <w:rsid w:val="5B6E1D39"/>
    <w:rsid w:val="5B75500B"/>
    <w:rsid w:val="5B791466"/>
    <w:rsid w:val="5B8027F4"/>
    <w:rsid w:val="5B893F6C"/>
    <w:rsid w:val="5B9E711E"/>
    <w:rsid w:val="5B9F1B41"/>
    <w:rsid w:val="5BA37F28"/>
    <w:rsid w:val="5BAB7B51"/>
    <w:rsid w:val="5BAE24A8"/>
    <w:rsid w:val="5BB117B1"/>
    <w:rsid w:val="5BB355E1"/>
    <w:rsid w:val="5BC51BF0"/>
    <w:rsid w:val="5BCF26D8"/>
    <w:rsid w:val="5BE30FD5"/>
    <w:rsid w:val="5BE90736"/>
    <w:rsid w:val="5BEA5EBF"/>
    <w:rsid w:val="5BF8553F"/>
    <w:rsid w:val="5C0B7CEE"/>
    <w:rsid w:val="5C14118E"/>
    <w:rsid w:val="5C1949F7"/>
    <w:rsid w:val="5C221AFD"/>
    <w:rsid w:val="5C2E04A2"/>
    <w:rsid w:val="5C44015E"/>
    <w:rsid w:val="5C44149C"/>
    <w:rsid w:val="5C4717C4"/>
    <w:rsid w:val="5C4D41F0"/>
    <w:rsid w:val="5C554BC5"/>
    <w:rsid w:val="5C5D0D87"/>
    <w:rsid w:val="5C7D3D43"/>
    <w:rsid w:val="5C882C4F"/>
    <w:rsid w:val="5C8962BA"/>
    <w:rsid w:val="5C8B76A2"/>
    <w:rsid w:val="5C8E6E6E"/>
    <w:rsid w:val="5CA02A22"/>
    <w:rsid w:val="5CA623DC"/>
    <w:rsid w:val="5CA70B0A"/>
    <w:rsid w:val="5CAA4DB4"/>
    <w:rsid w:val="5CAD18BB"/>
    <w:rsid w:val="5CB87EC4"/>
    <w:rsid w:val="5CBD523A"/>
    <w:rsid w:val="5CBF10FA"/>
    <w:rsid w:val="5CCD31A9"/>
    <w:rsid w:val="5CCE57E1"/>
    <w:rsid w:val="5CD02FC4"/>
    <w:rsid w:val="5CD2475E"/>
    <w:rsid w:val="5CD64696"/>
    <w:rsid w:val="5CDE7FFF"/>
    <w:rsid w:val="5CF05758"/>
    <w:rsid w:val="5CF214D0"/>
    <w:rsid w:val="5CF86CAE"/>
    <w:rsid w:val="5CFA0384"/>
    <w:rsid w:val="5D043AC4"/>
    <w:rsid w:val="5D0B3776"/>
    <w:rsid w:val="5D131446"/>
    <w:rsid w:val="5D443020"/>
    <w:rsid w:val="5D47572E"/>
    <w:rsid w:val="5D485FD5"/>
    <w:rsid w:val="5D487E79"/>
    <w:rsid w:val="5D516A2D"/>
    <w:rsid w:val="5D65410C"/>
    <w:rsid w:val="5D6C5E39"/>
    <w:rsid w:val="5D71281A"/>
    <w:rsid w:val="5D7D662C"/>
    <w:rsid w:val="5D873369"/>
    <w:rsid w:val="5D8D11F8"/>
    <w:rsid w:val="5D954FBB"/>
    <w:rsid w:val="5D9B1B31"/>
    <w:rsid w:val="5DAA5157"/>
    <w:rsid w:val="5DAD63B7"/>
    <w:rsid w:val="5DB34D76"/>
    <w:rsid w:val="5DB46182"/>
    <w:rsid w:val="5DD45079"/>
    <w:rsid w:val="5DDE3802"/>
    <w:rsid w:val="5DE132F2"/>
    <w:rsid w:val="5DE847B7"/>
    <w:rsid w:val="5DEB7552"/>
    <w:rsid w:val="5DEE04B2"/>
    <w:rsid w:val="5E04332E"/>
    <w:rsid w:val="5E0779FA"/>
    <w:rsid w:val="5E17280A"/>
    <w:rsid w:val="5E1B6804"/>
    <w:rsid w:val="5E1D5BB1"/>
    <w:rsid w:val="5E1D5F77"/>
    <w:rsid w:val="5E234035"/>
    <w:rsid w:val="5E2911D4"/>
    <w:rsid w:val="5E2A4C99"/>
    <w:rsid w:val="5E4F7B9F"/>
    <w:rsid w:val="5E5D1A5A"/>
    <w:rsid w:val="5E6C3604"/>
    <w:rsid w:val="5E751A3D"/>
    <w:rsid w:val="5E7762CF"/>
    <w:rsid w:val="5E7E75E3"/>
    <w:rsid w:val="5E84188B"/>
    <w:rsid w:val="5E8460C1"/>
    <w:rsid w:val="5E871843"/>
    <w:rsid w:val="5E8B1BDC"/>
    <w:rsid w:val="5E8E6B44"/>
    <w:rsid w:val="5E90449B"/>
    <w:rsid w:val="5E96232F"/>
    <w:rsid w:val="5E9640DD"/>
    <w:rsid w:val="5E99597B"/>
    <w:rsid w:val="5E9A7C8D"/>
    <w:rsid w:val="5E9D36BD"/>
    <w:rsid w:val="5EA20CD3"/>
    <w:rsid w:val="5EBF574D"/>
    <w:rsid w:val="5EC9135A"/>
    <w:rsid w:val="5ED14E5B"/>
    <w:rsid w:val="5ED74F3B"/>
    <w:rsid w:val="5EDC2F6E"/>
    <w:rsid w:val="5EDD2BC2"/>
    <w:rsid w:val="5EE17A4E"/>
    <w:rsid w:val="5EF04B7B"/>
    <w:rsid w:val="5EF86F14"/>
    <w:rsid w:val="5EFD6E8D"/>
    <w:rsid w:val="5EFF3DE0"/>
    <w:rsid w:val="5F007B24"/>
    <w:rsid w:val="5F0454EA"/>
    <w:rsid w:val="5F0B627E"/>
    <w:rsid w:val="5F106EAF"/>
    <w:rsid w:val="5F1A2F60"/>
    <w:rsid w:val="5F2636B2"/>
    <w:rsid w:val="5F283CA5"/>
    <w:rsid w:val="5F304531"/>
    <w:rsid w:val="5F305F32"/>
    <w:rsid w:val="5F3B6E50"/>
    <w:rsid w:val="5F425A26"/>
    <w:rsid w:val="5F463D55"/>
    <w:rsid w:val="5F4E3CB5"/>
    <w:rsid w:val="5F7C7776"/>
    <w:rsid w:val="5F7D1E64"/>
    <w:rsid w:val="5F816B3B"/>
    <w:rsid w:val="5F8B0796"/>
    <w:rsid w:val="5F93061C"/>
    <w:rsid w:val="5F9374D0"/>
    <w:rsid w:val="5F9F3465"/>
    <w:rsid w:val="5FA36AB1"/>
    <w:rsid w:val="5FCA6CFC"/>
    <w:rsid w:val="5FD4310E"/>
    <w:rsid w:val="5FD749AD"/>
    <w:rsid w:val="5FDA48B5"/>
    <w:rsid w:val="5FDE5D3B"/>
    <w:rsid w:val="5FE25384"/>
    <w:rsid w:val="5FE875BC"/>
    <w:rsid w:val="5FF11F12"/>
    <w:rsid w:val="5FF67529"/>
    <w:rsid w:val="60196D73"/>
    <w:rsid w:val="6020045A"/>
    <w:rsid w:val="604364E6"/>
    <w:rsid w:val="604C40C6"/>
    <w:rsid w:val="604F675E"/>
    <w:rsid w:val="6064492C"/>
    <w:rsid w:val="60671E65"/>
    <w:rsid w:val="606C1599"/>
    <w:rsid w:val="607562A7"/>
    <w:rsid w:val="608664A5"/>
    <w:rsid w:val="608C7B28"/>
    <w:rsid w:val="608F41F2"/>
    <w:rsid w:val="609B00D0"/>
    <w:rsid w:val="609E6925"/>
    <w:rsid w:val="60BA77CD"/>
    <w:rsid w:val="60C211B9"/>
    <w:rsid w:val="60C2740B"/>
    <w:rsid w:val="60C63F24"/>
    <w:rsid w:val="60CA2B58"/>
    <w:rsid w:val="60EA0710"/>
    <w:rsid w:val="60F80C2F"/>
    <w:rsid w:val="60FC2713"/>
    <w:rsid w:val="60FE4735"/>
    <w:rsid w:val="6106379C"/>
    <w:rsid w:val="611F2AAF"/>
    <w:rsid w:val="613468C2"/>
    <w:rsid w:val="613A48D5"/>
    <w:rsid w:val="613B0F6B"/>
    <w:rsid w:val="61487E7F"/>
    <w:rsid w:val="614C4BCD"/>
    <w:rsid w:val="614E0C9F"/>
    <w:rsid w:val="614F6149"/>
    <w:rsid w:val="61550DAD"/>
    <w:rsid w:val="61572E4F"/>
    <w:rsid w:val="615B3EA1"/>
    <w:rsid w:val="615E35D8"/>
    <w:rsid w:val="616128EC"/>
    <w:rsid w:val="6162474A"/>
    <w:rsid w:val="616720C6"/>
    <w:rsid w:val="61686204"/>
    <w:rsid w:val="61725619"/>
    <w:rsid w:val="617E294F"/>
    <w:rsid w:val="618649E8"/>
    <w:rsid w:val="619104F5"/>
    <w:rsid w:val="61914A31"/>
    <w:rsid w:val="61954B1F"/>
    <w:rsid w:val="619D5782"/>
    <w:rsid w:val="61A17D0D"/>
    <w:rsid w:val="61A65755"/>
    <w:rsid w:val="61AB7C65"/>
    <w:rsid w:val="61BA65BF"/>
    <w:rsid w:val="61C3512C"/>
    <w:rsid w:val="61D5572C"/>
    <w:rsid w:val="61DB7979"/>
    <w:rsid w:val="61F562F2"/>
    <w:rsid w:val="62013F63"/>
    <w:rsid w:val="62073433"/>
    <w:rsid w:val="620B3059"/>
    <w:rsid w:val="620D753C"/>
    <w:rsid w:val="620E393B"/>
    <w:rsid w:val="62181D46"/>
    <w:rsid w:val="621A6DD3"/>
    <w:rsid w:val="6230589F"/>
    <w:rsid w:val="624F789D"/>
    <w:rsid w:val="62516C98"/>
    <w:rsid w:val="625247BE"/>
    <w:rsid w:val="62540537"/>
    <w:rsid w:val="625422E5"/>
    <w:rsid w:val="625E13B5"/>
    <w:rsid w:val="626B7791"/>
    <w:rsid w:val="62721747"/>
    <w:rsid w:val="62791EFC"/>
    <w:rsid w:val="627D5CDF"/>
    <w:rsid w:val="627E3805"/>
    <w:rsid w:val="628237C7"/>
    <w:rsid w:val="6283706E"/>
    <w:rsid w:val="62866233"/>
    <w:rsid w:val="628762A4"/>
    <w:rsid w:val="628C2933"/>
    <w:rsid w:val="628C4312"/>
    <w:rsid w:val="62A057D8"/>
    <w:rsid w:val="62AB1D8D"/>
    <w:rsid w:val="62AF1C11"/>
    <w:rsid w:val="62B15989"/>
    <w:rsid w:val="62B17675"/>
    <w:rsid w:val="62B17737"/>
    <w:rsid w:val="62BE1E54"/>
    <w:rsid w:val="62C42917"/>
    <w:rsid w:val="62CD2097"/>
    <w:rsid w:val="62D1262B"/>
    <w:rsid w:val="62D9309F"/>
    <w:rsid w:val="62DE5A92"/>
    <w:rsid w:val="62E23D94"/>
    <w:rsid w:val="62E73481"/>
    <w:rsid w:val="62ED42C9"/>
    <w:rsid w:val="62F0419C"/>
    <w:rsid w:val="62FA55D0"/>
    <w:rsid w:val="63041F5D"/>
    <w:rsid w:val="63113D17"/>
    <w:rsid w:val="63142B08"/>
    <w:rsid w:val="631A7E52"/>
    <w:rsid w:val="63234C0F"/>
    <w:rsid w:val="632E0D88"/>
    <w:rsid w:val="63344E12"/>
    <w:rsid w:val="63357D2E"/>
    <w:rsid w:val="634842AF"/>
    <w:rsid w:val="634B4DB7"/>
    <w:rsid w:val="634C01CF"/>
    <w:rsid w:val="635602DE"/>
    <w:rsid w:val="635665B8"/>
    <w:rsid w:val="63573435"/>
    <w:rsid w:val="63640C4D"/>
    <w:rsid w:val="6367429A"/>
    <w:rsid w:val="63695916"/>
    <w:rsid w:val="636C365E"/>
    <w:rsid w:val="637A72AA"/>
    <w:rsid w:val="637D1D0F"/>
    <w:rsid w:val="63822E81"/>
    <w:rsid w:val="639C03E7"/>
    <w:rsid w:val="63A252D2"/>
    <w:rsid w:val="63A3479D"/>
    <w:rsid w:val="63A83A82"/>
    <w:rsid w:val="63BA4E72"/>
    <w:rsid w:val="63BC5AD0"/>
    <w:rsid w:val="63BE65AF"/>
    <w:rsid w:val="63C4349A"/>
    <w:rsid w:val="63CB3622"/>
    <w:rsid w:val="63CE60C7"/>
    <w:rsid w:val="63D600F2"/>
    <w:rsid w:val="63E31E9D"/>
    <w:rsid w:val="63E93889"/>
    <w:rsid w:val="63F461F0"/>
    <w:rsid w:val="63F7386F"/>
    <w:rsid w:val="640434E5"/>
    <w:rsid w:val="640F0BB9"/>
    <w:rsid w:val="64185C22"/>
    <w:rsid w:val="641A755E"/>
    <w:rsid w:val="64216B3E"/>
    <w:rsid w:val="642C74A2"/>
    <w:rsid w:val="643B275E"/>
    <w:rsid w:val="643E324C"/>
    <w:rsid w:val="643F5E41"/>
    <w:rsid w:val="64411A38"/>
    <w:rsid w:val="64416899"/>
    <w:rsid w:val="644C3BBB"/>
    <w:rsid w:val="644F7208"/>
    <w:rsid w:val="64587275"/>
    <w:rsid w:val="6468473F"/>
    <w:rsid w:val="646A2CFB"/>
    <w:rsid w:val="646A5BED"/>
    <w:rsid w:val="647470A6"/>
    <w:rsid w:val="64754F8C"/>
    <w:rsid w:val="64942D82"/>
    <w:rsid w:val="649834B3"/>
    <w:rsid w:val="64A37553"/>
    <w:rsid w:val="64B47494"/>
    <w:rsid w:val="64BB2AEF"/>
    <w:rsid w:val="64C4485F"/>
    <w:rsid w:val="64D2151F"/>
    <w:rsid w:val="64DA076B"/>
    <w:rsid w:val="64E36924"/>
    <w:rsid w:val="64E75C21"/>
    <w:rsid w:val="64E9112D"/>
    <w:rsid w:val="64EA6F30"/>
    <w:rsid w:val="64EB08F3"/>
    <w:rsid w:val="65014155"/>
    <w:rsid w:val="650A5824"/>
    <w:rsid w:val="65142B38"/>
    <w:rsid w:val="6520621E"/>
    <w:rsid w:val="65242442"/>
    <w:rsid w:val="65366619"/>
    <w:rsid w:val="653B3C30"/>
    <w:rsid w:val="653D68E6"/>
    <w:rsid w:val="65404DA2"/>
    <w:rsid w:val="65530F79"/>
    <w:rsid w:val="6558008C"/>
    <w:rsid w:val="656071F2"/>
    <w:rsid w:val="65630AA9"/>
    <w:rsid w:val="656A3683"/>
    <w:rsid w:val="656A7144"/>
    <w:rsid w:val="656E2A26"/>
    <w:rsid w:val="65790F90"/>
    <w:rsid w:val="657B048C"/>
    <w:rsid w:val="657F70B1"/>
    <w:rsid w:val="65865107"/>
    <w:rsid w:val="65891DC8"/>
    <w:rsid w:val="658C6A5C"/>
    <w:rsid w:val="659242EE"/>
    <w:rsid w:val="65977548"/>
    <w:rsid w:val="65A72D84"/>
    <w:rsid w:val="65B0069A"/>
    <w:rsid w:val="65B61ED7"/>
    <w:rsid w:val="65E9533F"/>
    <w:rsid w:val="65F1704F"/>
    <w:rsid w:val="65F71905"/>
    <w:rsid w:val="65F76683"/>
    <w:rsid w:val="65F93869"/>
    <w:rsid w:val="660B2971"/>
    <w:rsid w:val="660B5D8E"/>
    <w:rsid w:val="6614388B"/>
    <w:rsid w:val="66187ACD"/>
    <w:rsid w:val="661C580F"/>
    <w:rsid w:val="661D48F0"/>
    <w:rsid w:val="66224F9D"/>
    <w:rsid w:val="66293A88"/>
    <w:rsid w:val="662F5543"/>
    <w:rsid w:val="6632531C"/>
    <w:rsid w:val="663743F7"/>
    <w:rsid w:val="66394F37"/>
    <w:rsid w:val="66432D9C"/>
    <w:rsid w:val="664A412A"/>
    <w:rsid w:val="6660394E"/>
    <w:rsid w:val="66652D12"/>
    <w:rsid w:val="666E10E8"/>
    <w:rsid w:val="667237CD"/>
    <w:rsid w:val="667473F9"/>
    <w:rsid w:val="667C4500"/>
    <w:rsid w:val="667C7657"/>
    <w:rsid w:val="66815672"/>
    <w:rsid w:val="66882EA5"/>
    <w:rsid w:val="66953E2E"/>
    <w:rsid w:val="669F7CBA"/>
    <w:rsid w:val="66A03D4A"/>
    <w:rsid w:val="66A51361"/>
    <w:rsid w:val="66AB0941"/>
    <w:rsid w:val="66AE39AD"/>
    <w:rsid w:val="66B00768"/>
    <w:rsid w:val="66B772E6"/>
    <w:rsid w:val="66EA4F33"/>
    <w:rsid w:val="66F07E54"/>
    <w:rsid w:val="66F95B50"/>
    <w:rsid w:val="66FB73E6"/>
    <w:rsid w:val="67006EDF"/>
    <w:rsid w:val="670A4B9E"/>
    <w:rsid w:val="67155475"/>
    <w:rsid w:val="67171C12"/>
    <w:rsid w:val="671C012D"/>
    <w:rsid w:val="671D35ED"/>
    <w:rsid w:val="672E507D"/>
    <w:rsid w:val="67301337"/>
    <w:rsid w:val="67390F41"/>
    <w:rsid w:val="673936D7"/>
    <w:rsid w:val="67517AFA"/>
    <w:rsid w:val="67584625"/>
    <w:rsid w:val="67670EBA"/>
    <w:rsid w:val="67713939"/>
    <w:rsid w:val="67805AAD"/>
    <w:rsid w:val="678B3AD2"/>
    <w:rsid w:val="67AB1B26"/>
    <w:rsid w:val="67AC4971"/>
    <w:rsid w:val="67B265D1"/>
    <w:rsid w:val="67B30E44"/>
    <w:rsid w:val="67B6134C"/>
    <w:rsid w:val="67B6759E"/>
    <w:rsid w:val="67B87002"/>
    <w:rsid w:val="67C23B71"/>
    <w:rsid w:val="67C24194"/>
    <w:rsid w:val="67C501C3"/>
    <w:rsid w:val="67DB7004"/>
    <w:rsid w:val="67E1461B"/>
    <w:rsid w:val="67E35CA4"/>
    <w:rsid w:val="67E55296"/>
    <w:rsid w:val="67E87F7F"/>
    <w:rsid w:val="67EB4215"/>
    <w:rsid w:val="67FC76A6"/>
    <w:rsid w:val="68064081"/>
    <w:rsid w:val="68080A2F"/>
    <w:rsid w:val="680B1697"/>
    <w:rsid w:val="68190258"/>
    <w:rsid w:val="681E7CFD"/>
    <w:rsid w:val="68221B5F"/>
    <w:rsid w:val="682633F9"/>
    <w:rsid w:val="68270406"/>
    <w:rsid w:val="68273145"/>
    <w:rsid w:val="68275505"/>
    <w:rsid w:val="68295FC1"/>
    <w:rsid w:val="682A5BF7"/>
    <w:rsid w:val="683230C8"/>
    <w:rsid w:val="68444A93"/>
    <w:rsid w:val="68535738"/>
    <w:rsid w:val="685968A7"/>
    <w:rsid w:val="68721156"/>
    <w:rsid w:val="687C423F"/>
    <w:rsid w:val="68815DFE"/>
    <w:rsid w:val="6885138C"/>
    <w:rsid w:val="688A7DA8"/>
    <w:rsid w:val="688F22C8"/>
    <w:rsid w:val="689C5480"/>
    <w:rsid w:val="68A555C7"/>
    <w:rsid w:val="68B463BA"/>
    <w:rsid w:val="68B57855"/>
    <w:rsid w:val="68BB130F"/>
    <w:rsid w:val="68BE495C"/>
    <w:rsid w:val="68C25D28"/>
    <w:rsid w:val="68D008B2"/>
    <w:rsid w:val="68D033F3"/>
    <w:rsid w:val="68DC1286"/>
    <w:rsid w:val="68DC689F"/>
    <w:rsid w:val="68E0170A"/>
    <w:rsid w:val="68E629B2"/>
    <w:rsid w:val="68F155CC"/>
    <w:rsid w:val="68F22857"/>
    <w:rsid w:val="68F302CC"/>
    <w:rsid w:val="690328D3"/>
    <w:rsid w:val="69107AC3"/>
    <w:rsid w:val="69123CE1"/>
    <w:rsid w:val="69141C2E"/>
    <w:rsid w:val="69184264"/>
    <w:rsid w:val="692E3867"/>
    <w:rsid w:val="693350FB"/>
    <w:rsid w:val="693B41FE"/>
    <w:rsid w:val="69401815"/>
    <w:rsid w:val="695232F6"/>
    <w:rsid w:val="695479FA"/>
    <w:rsid w:val="695E1C9B"/>
    <w:rsid w:val="696C260A"/>
    <w:rsid w:val="696F1E02"/>
    <w:rsid w:val="69705CB0"/>
    <w:rsid w:val="69762AAC"/>
    <w:rsid w:val="697826BD"/>
    <w:rsid w:val="69846867"/>
    <w:rsid w:val="69874F79"/>
    <w:rsid w:val="69925170"/>
    <w:rsid w:val="69997553"/>
    <w:rsid w:val="69A153EF"/>
    <w:rsid w:val="69AA23F5"/>
    <w:rsid w:val="69BF7EC3"/>
    <w:rsid w:val="69CE431D"/>
    <w:rsid w:val="69D330B4"/>
    <w:rsid w:val="69EC374B"/>
    <w:rsid w:val="69F432B5"/>
    <w:rsid w:val="69F64D34"/>
    <w:rsid w:val="6A082D30"/>
    <w:rsid w:val="6A1B5C00"/>
    <w:rsid w:val="6A222CC8"/>
    <w:rsid w:val="6A244C92"/>
    <w:rsid w:val="6A2835EC"/>
    <w:rsid w:val="6A291175"/>
    <w:rsid w:val="6A2B0DEB"/>
    <w:rsid w:val="6A2C34AA"/>
    <w:rsid w:val="6A2C3B47"/>
    <w:rsid w:val="6A507835"/>
    <w:rsid w:val="6A6459AF"/>
    <w:rsid w:val="6A690197"/>
    <w:rsid w:val="6A710359"/>
    <w:rsid w:val="6A820F91"/>
    <w:rsid w:val="6A8219B9"/>
    <w:rsid w:val="6A824374"/>
    <w:rsid w:val="6A8676FB"/>
    <w:rsid w:val="6A87407F"/>
    <w:rsid w:val="6A8B2F63"/>
    <w:rsid w:val="6A8B44E9"/>
    <w:rsid w:val="6A8F56DF"/>
    <w:rsid w:val="6A99127D"/>
    <w:rsid w:val="6A9B489C"/>
    <w:rsid w:val="6A9E67F3"/>
    <w:rsid w:val="6AA858C3"/>
    <w:rsid w:val="6AB4441A"/>
    <w:rsid w:val="6AB8004E"/>
    <w:rsid w:val="6AB861B4"/>
    <w:rsid w:val="6ABE25BD"/>
    <w:rsid w:val="6AC00E5F"/>
    <w:rsid w:val="6AC16813"/>
    <w:rsid w:val="6AC605C4"/>
    <w:rsid w:val="6ACA363B"/>
    <w:rsid w:val="6AD93563"/>
    <w:rsid w:val="6AD96CB7"/>
    <w:rsid w:val="6AED32D6"/>
    <w:rsid w:val="6B014FD4"/>
    <w:rsid w:val="6B016D82"/>
    <w:rsid w:val="6B08773F"/>
    <w:rsid w:val="6B0D3978"/>
    <w:rsid w:val="6B0F3C1E"/>
    <w:rsid w:val="6B13077A"/>
    <w:rsid w:val="6B1424DD"/>
    <w:rsid w:val="6B221E5F"/>
    <w:rsid w:val="6B272595"/>
    <w:rsid w:val="6B272C8C"/>
    <w:rsid w:val="6B2904EB"/>
    <w:rsid w:val="6B2B1CE6"/>
    <w:rsid w:val="6B2F5E6F"/>
    <w:rsid w:val="6B421874"/>
    <w:rsid w:val="6B4629BA"/>
    <w:rsid w:val="6B4C3CF7"/>
    <w:rsid w:val="6B4F0F22"/>
    <w:rsid w:val="6B574BF4"/>
    <w:rsid w:val="6B6B5CD2"/>
    <w:rsid w:val="6B711394"/>
    <w:rsid w:val="6B7C0E69"/>
    <w:rsid w:val="6B833C3B"/>
    <w:rsid w:val="6B882178"/>
    <w:rsid w:val="6B8B3081"/>
    <w:rsid w:val="6B961BC0"/>
    <w:rsid w:val="6BA078E7"/>
    <w:rsid w:val="6BB36B04"/>
    <w:rsid w:val="6BB43DF4"/>
    <w:rsid w:val="6BBF2EC5"/>
    <w:rsid w:val="6BC576AE"/>
    <w:rsid w:val="6BC82F86"/>
    <w:rsid w:val="6BCC1277"/>
    <w:rsid w:val="6BD356F8"/>
    <w:rsid w:val="6BE4278E"/>
    <w:rsid w:val="6BEA1F9C"/>
    <w:rsid w:val="6BEC358E"/>
    <w:rsid w:val="6BFC4F57"/>
    <w:rsid w:val="6C136D6D"/>
    <w:rsid w:val="6C172D01"/>
    <w:rsid w:val="6C1825D5"/>
    <w:rsid w:val="6C186A79"/>
    <w:rsid w:val="6C1F76C2"/>
    <w:rsid w:val="6C4D7283"/>
    <w:rsid w:val="6C4E1244"/>
    <w:rsid w:val="6C506A9C"/>
    <w:rsid w:val="6C523D39"/>
    <w:rsid w:val="6C5B6EEC"/>
    <w:rsid w:val="6C5D2D2B"/>
    <w:rsid w:val="6C6E3EA2"/>
    <w:rsid w:val="6C7765FE"/>
    <w:rsid w:val="6C8008DC"/>
    <w:rsid w:val="6C9500C9"/>
    <w:rsid w:val="6CAA5E4D"/>
    <w:rsid w:val="6CAB3F02"/>
    <w:rsid w:val="6CB87914"/>
    <w:rsid w:val="6CC60DC9"/>
    <w:rsid w:val="6CC8224D"/>
    <w:rsid w:val="6CC87595"/>
    <w:rsid w:val="6CD44DB3"/>
    <w:rsid w:val="6CD81677"/>
    <w:rsid w:val="6CDC7845"/>
    <w:rsid w:val="6CDF1345"/>
    <w:rsid w:val="6CE4695B"/>
    <w:rsid w:val="6D000FC4"/>
    <w:rsid w:val="6D031778"/>
    <w:rsid w:val="6D08005D"/>
    <w:rsid w:val="6D0843F7"/>
    <w:rsid w:val="6D0A7C83"/>
    <w:rsid w:val="6D106FB7"/>
    <w:rsid w:val="6D176D30"/>
    <w:rsid w:val="6D1C3F9C"/>
    <w:rsid w:val="6D2B7848"/>
    <w:rsid w:val="6D350F65"/>
    <w:rsid w:val="6D375CDA"/>
    <w:rsid w:val="6D3B3036"/>
    <w:rsid w:val="6D452A01"/>
    <w:rsid w:val="6D480C98"/>
    <w:rsid w:val="6D4A67A4"/>
    <w:rsid w:val="6D517127"/>
    <w:rsid w:val="6D5D5CC1"/>
    <w:rsid w:val="6D6109C9"/>
    <w:rsid w:val="6D6B744D"/>
    <w:rsid w:val="6D995997"/>
    <w:rsid w:val="6D9D5488"/>
    <w:rsid w:val="6DA07DE7"/>
    <w:rsid w:val="6DA265FA"/>
    <w:rsid w:val="6DA721E6"/>
    <w:rsid w:val="6DBE5CD2"/>
    <w:rsid w:val="6DC53FE9"/>
    <w:rsid w:val="6DD32C57"/>
    <w:rsid w:val="6DD53DC5"/>
    <w:rsid w:val="6DD8026E"/>
    <w:rsid w:val="6DDE33AA"/>
    <w:rsid w:val="6DE374BA"/>
    <w:rsid w:val="6DEC6B1D"/>
    <w:rsid w:val="6E0034EE"/>
    <w:rsid w:val="6E076DA5"/>
    <w:rsid w:val="6E144C91"/>
    <w:rsid w:val="6E1A0886"/>
    <w:rsid w:val="6E1A3D81"/>
    <w:rsid w:val="6E1E4AB4"/>
    <w:rsid w:val="6E20601C"/>
    <w:rsid w:val="6E2309D9"/>
    <w:rsid w:val="6E250FD9"/>
    <w:rsid w:val="6E2A5041"/>
    <w:rsid w:val="6E2C4FDA"/>
    <w:rsid w:val="6E2E60E0"/>
    <w:rsid w:val="6E3A38A7"/>
    <w:rsid w:val="6E3B0389"/>
    <w:rsid w:val="6E3B66F8"/>
    <w:rsid w:val="6E3D4575"/>
    <w:rsid w:val="6E41574E"/>
    <w:rsid w:val="6E4159A8"/>
    <w:rsid w:val="6E4660D0"/>
    <w:rsid w:val="6E4678CD"/>
    <w:rsid w:val="6E47284E"/>
    <w:rsid w:val="6E4A043D"/>
    <w:rsid w:val="6E6E71AB"/>
    <w:rsid w:val="6E6F129A"/>
    <w:rsid w:val="6E732C64"/>
    <w:rsid w:val="6E755BDC"/>
    <w:rsid w:val="6E7D0031"/>
    <w:rsid w:val="6E8C7E9A"/>
    <w:rsid w:val="6E95615F"/>
    <w:rsid w:val="6E9F1404"/>
    <w:rsid w:val="6EA7226C"/>
    <w:rsid w:val="6EB13143"/>
    <w:rsid w:val="6EB34837"/>
    <w:rsid w:val="6EB83E57"/>
    <w:rsid w:val="6EBF0F07"/>
    <w:rsid w:val="6EC3545C"/>
    <w:rsid w:val="6ECA6E08"/>
    <w:rsid w:val="6ECA78B1"/>
    <w:rsid w:val="6ECE341F"/>
    <w:rsid w:val="6ED317D6"/>
    <w:rsid w:val="6EDC5B3C"/>
    <w:rsid w:val="6EEA46FD"/>
    <w:rsid w:val="6EFC4430"/>
    <w:rsid w:val="6EFD5C0F"/>
    <w:rsid w:val="6F0211AE"/>
    <w:rsid w:val="6F081FAF"/>
    <w:rsid w:val="6F190B3E"/>
    <w:rsid w:val="6F1C062E"/>
    <w:rsid w:val="6F252E0D"/>
    <w:rsid w:val="6F257D94"/>
    <w:rsid w:val="6F2F65B3"/>
    <w:rsid w:val="6F4379DD"/>
    <w:rsid w:val="6F4E7C4A"/>
    <w:rsid w:val="6F58524C"/>
    <w:rsid w:val="6F60081B"/>
    <w:rsid w:val="6F6A055F"/>
    <w:rsid w:val="6F6A09C1"/>
    <w:rsid w:val="6F6B224A"/>
    <w:rsid w:val="6F733EF8"/>
    <w:rsid w:val="6F7478CD"/>
    <w:rsid w:val="6F8310B0"/>
    <w:rsid w:val="6FA06B69"/>
    <w:rsid w:val="6FA66C5B"/>
    <w:rsid w:val="6FAF4A0F"/>
    <w:rsid w:val="6FB917DB"/>
    <w:rsid w:val="6FC80B1A"/>
    <w:rsid w:val="6FD412E1"/>
    <w:rsid w:val="6FDC4FAB"/>
    <w:rsid w:val="6FE23626"/>
    <w:rsid w:val="6FE729EA"/>
    <w:rsid w:val="6FEA1D9F"/>
    <w:rsid w:val="6FEE7DF4"/>
    <w:rsid w:val="6FF43A17"/>
    <w:rsid w:val="6FF473BA"/>
    <w:rsid w:val="6FFC588A"/>
    <w:rsid w:val="70074E3A"/>
    <w:rsid w:val="70076BE8"/>
    <w:rsid w:val="70090BB2"/>
    <w:rsid w:val="7015387B"/>
    <w:rsid w:val="701B2694"/>
    <w:rsid w:val="702324CF"/>
    <w:rsid w:val="70233526"/>
    <w:rsid w:val="70237E69"/>
    <w:rsid w:val="702B61BE"/>
    <w:rsid w:val="70306C17"/>
    <w:rsid w:val="7040279B"/>
    <w:rsid w:val="70565880"/>
    <w:rsid w:val="706A7177"/>
    <w:rsid w:val="706B361B"/>
    <w:rsid w:val="70754C0A"/>
    <w:rsid w:val="70761788"/>
    <w:rsid w:val="70810F20"/>
    <w:rsid w:val="70877D29"/>
    <w:rsid w:val="708A15C7"/>
    <w:rsid w:val="708E10B8"/>
    <w:rsid w:val="70984F7D"/>
    <w:rsid w:val="709970EF"/>
    <w:rsid w:val="709C1A8C"/>
    <w:rsid w:val="70A42689"/>
    <w:rsid w:val="70B27B70"/>
    <w:rsid w:val="70CB5E68"/>
    <w:rsid w:val="70CE09C3"/>
    <w:rsid w:val="70DD5B9B"/>
    <w:rsid w:val="70DF5DB7"/>
    <w:rsid w:val="70E41A32"/>
    <w:rsid w:val="70E47485"/>
    <w:rsid w:val="70E61A3D"/>
    <w:rsid w:val="71147566"/>
    <w:rsid w:val="71267542"/>
    <w:rsid w:val="71287630"/>
    <w:rsid w:val="712C1AEB"/>
    <w:rsid w:val="712E4649"/>
    <w:rsid w:val="713148BC"/>
    <w:rsid w:val="71371CF9"/>
    <w:rsid w:val="713E5AE7"/>
    <w:rsid w:val="71431EA2"/>
    <w:rsid w:val="71494FDF"/>
    <w:rsid w:val="714B7705"/>
    <w:rsid w:val="71632544"/>
    <w:rsid w:val="716F1C44"/>
    <w:rsid w:val="716F7708"/>
    <w:rsid w:val="71755DD4"/>
    <w:rsid w:val="717D734C"/>
    <w:rsid w:val="717E7A69"/>
    <w:rsid w:val="71806D32"/>
    <w:rsid w:val="71877C10"/>
    <w:rsid w:val="718971D8"/>
    <w:rsid w:val="718F50E7"/>
    <w:rsid w:val="71AD6FAE"/>
    <w:rsid w:val="71AE30B5"/>
    <w:rsid w:val="71B66B18"/>
    <w:rsid w:val="71C27EC8"/>
    <w:rsid w:val="71C33DD0"/>
    <w:rsid w:val="71CF1988"/>
    <w:rsid w:val="71DB032D"/>
    <w:rsid w:val="71F15DA2"/>
    <w:rsid w:val="71F80EDE"/>
    <w:rsid w:val="72005AE6"/>
    <w:rsid w:val="720F6228"/>
    <w:rsid w:val="72104AC2"/>
    <w:rsid w:val="72111FA0"/>
    <w:rsid w:val="72124041"/>
    <w:rsid w:val="72135B21"/>
    <w:rsid w:val="721601E1"/>
    <w:rsid w:val="72282AEE"/>
    <w:rsid w:val="722C7B4F"/>
    <w:rsid w:val="72337620"/>
    <w:rsid w:val="723657EC"/>
    <w:rsid w:val="723E22AF"/>
    <w:rsid w:val="723F5BDB"/>
    <w:rsid w:val="723F6B0D"/>
    <w:rsid w:val="724C609B"/>
    <w:rsid w:val="72570EA7"/>
    <w:rsid w:val="726F6CC7"/>
    <w:rsid w:val="72726B56"/>
    <w:rsid w:val="727355E2"/>
    <w:rsid w:val="72802C82"/>
    <w:rsid w:val="7295497F"/>
    <w:rsid w:val="72996CE2"/>
    <w:rsid w:val="72A11E23"/>
    <w:rsid w:val="72A322A5"/>
    <w:rsid w:val="72A93F87"/>
    <w:rsid w:val="72AF0917"/>
    <w:rsid w:val="72B3210B"/>
    <w:rsid w:val="72CF7ADB"/>
    <w:rsid w:val="72D336FA"/>
    <w:rsid w:val="72D82ABE"/>
    <w:rsid w:val="72E12CBB"/>
    <w:rsid w:val="72E75951"/>
    <w:rsid w:val="72E91B02"/>
    <w:rsid w:val="72F9284C"/>
    <w:rsid w:val="72FF3233"/>
    <w:rsid w:val="730B69EF"/>
    <w:rsid w:val="731710B7"/>
    <w:rsid w:val="731F693F"/>
    <w:rsid w:val="73243F55"/>
    <w:rsid w:val="732650C3"/>
    <w:rsid w:val="733221CE"/>
    <w:rsid w:val="73384D72"/>
    <w:rsid w:val="73393941"/>
    <w:rsid w:val="733C616F"/>
    <w:rsid w:val="7340334A"/>
    <w:rsid w:val="734A7EB9"/>
    <w:rsid w:val="735008A6"/>
    <w:rsid w:val="73520AC2"/>
    <w:rsid w:val="735621CE"/>
    <w:rsid w:val="73586DC3"/>
    <w:rsid w:val="735B05AA"/>
    <w:rsid w:val="735B3196"/>
    <w:rsid w:val="73671D96"/>
    <w:rsid w:val="736811C4"/>
    <w:rsid w:val="7370719A"/>
    <w:rsid w:val="73725CC7"/>
    <w:rsid w:val="7379604F"/>
    <w:rsid w:val="737C5B3F"/>
    <w:rsid w:val="738A025C"/>
    <w:rsid w:val="738E13CF"/>
    <w:rsid w:val="7399049F"/>
    <w:rsid w:val="739B35DE"/>
    <w:rsid w:val="73AA6208"/>
    <w:rsid w:val="73D16B38"/>
    <w:rsid w:val="73D82886"/>
    <w:rsid w:val="73DA0AAB"/>
    <w:rsid w:val="73DE5EB2"/>
    <w:rsid w:val="73F2211E"/>
    <w:rsid w:val="73F27BAF"/>
    <w:rsid w:val="73FA0619"/>
    <w:rsid w:val="73FA2A89"/>
    <w:rsid w:val="73FF32CB"/>
    <w:rsid w:val="7405758D"/>
    <w:rsid w:val="74145D78"/>
    <w:rsid w:val="741C4C2C"/>
    <w:rsid w:val="741F7908"/>
    <w:rsid w:val="7428537F"/>
    <w:rsid w:val="74301EA6"/>
    <w:rsid w:val="74386E56"/>
    <w:rsid w:val="7439010A"/>
    <w:rsid w:val="743E4BA3"/>
    <w:rsid w:val="743F72A0"/>
    <w:rsid w:val="745B39A7"/>
    <w:rsid w:val="745B5755"/>
    <w:rsid w:val="74622F2F"/>
    <w:rsid w:val="746766B3"/>
    <w:rsid w:val="7497088D"/>
    <w:rsid w:val="749D1605"/>
    <w:rsid w:val="749F7D37"/>
    <w:rsid w:val="74A30572"/>
    <w:rsid w:val="74A470FC"/>
    <w:rsid w:val="74AB7D1C"/>
    <w:rsid w:val="74AC5FB0"/>
    <w:rsid w:val="74B3476A"/>
    <w:rsid w:val="74B3492E"/>
    <w:rsid w:val="74BD1F6B"/>
    <w:rsid w:val="74C73FE3"/>
    <w:rsid w:val="74CB0B2C"/>
    <w:rsid w:val="74D13C69"/>
    <w:rsid w:val="74DC5A55"/>
    <w:rsid w:val="74DD616A"/>
    <w:rsid w:val="74E71A82"/>
    <w:rsid w:val="74F549C3"/>
    <w:rsid w:val="74F64E3F"/>
    <w:rsid w:val="74F71921"/>
    <w:rsid w:val="74FC2985"/>
    <w:rsid w:val="74FD1B30"/>
    <w:rsid w:val="750202C6"/>
    <w:rsid w:val="751D0E17"/>
    <w:rsid w:val="75210DC6"/>
    <w:rsid w:val="752124FA"/>
    <w:rsid w:val="75383CE8"/>
    <w:rsid w:val="75387844"/>
    <w:rsid w:val="754A05DC"/>
    <w:rsid w:val="75507C16"/>
    <w:rsid w:val="75534C93"/>
    <w:rsid w:val="75752846"/>
    <w:rsid w:val="757D16FB"/>
    <w:rsid w:val="757E07F7"/>
    <w:rsid w:val="75836A21"/>
    <w:rsid w:val="758C5AB9"/>
    <w:rsid w:val="75907680"/>
    <w:rsid w:val="75942A40"/>
    <w:rsid w:val="75A023F2"/>
    <w:rsid w:val="75BE29A3"/>
    <w:rsid w:val="75C5780F"/>
    <w:rsid w:val="75CD25B4"/>
    <w:rsid w:val="75D457BF"/>
    <w:rsid w:val="75D57A5B"/>
    <w:rsid w:val="75DC4673"/>
    <w:rsid w:val="75E43528"/>
    <w:rsid w:val="75F93E4E"/>
    <w:rsid w:val="75FB2A56"/>
    <w:rsid w:val="75FF18EA"/>
    <w:rsid w:val="76023351"/>
    <w:rsid w:val="76085468"/>
    <w:rsid w:val="761730DD"/>
    <w:rsid w:val="762514F1"/>
    <w:rsid w:val="762C5C47"/>
    <w:rsid w:val="764B3A26"/>
    <w:rsid w:val="765512FB"/>
    <w:rsid w:val="765E31FB"/>
    <w:rsid w:val="766477E6"/>
    <w:rsid w:val="76687032"/>
    <w:rsid w:val="7672045B"/>
    <w:rsid w:val="76766B2A"/>
    <w:rsid w:val="767F2D37"/>
    <w:rsid w:val="76803E28"/>
    <w:rsid w:val="76895AED"/>
    <w:rsid w:val="768976C7"/>
    <w:rsid w:val="769604E1"/>
    <w:rsid w:val="7698131F"/>
    <w:rsid w:val="76984EB1"/>
    <w:rsid w:val="76991A17"/>
    <w:rsid w:val="769E7B7B"/>
    <w:rsid w:val="76A26714"/>
    <w:rsid w:val="76B540E9"/>
    <w:rsid w:val="76BA50E5"/>
    <w:rsid w:val="76C42FE0"/>
    <w:rsid w:val="76C577FD"/>
    <w:rsid w:val="76CA0970"/>
    <w:rsid w:val="76D11CFE"/>
    <w:rsid w:val="76D42781"/>
    <w:rsid w:val="76D67314"/>
    <w:rsid w:val="76D81D5A"/>
    <w:rsid w:val="76E14D6A"/>
    <w:rsid w:val="76ED2467"/>
    <w:rsid w:val="76EE5395"/>
    <w:rsid w:val="76F10C98"/>
    <w:rsid w:val="76FA74A7"/>
    <w:rsid w:val="77067FBD"/>
    <w:rsid w:val="771672D4"/>
    <w:rsid w:val="771A06F0"/>
    <w:rsid w:val="771C3925"/>
    <w:rsid w:val="771C566F"/>
    <w:rsid w:val="7720462A"/>
    <w:rsid w:val="77236D53"/>
    <w:rsid w:val="772938E8"/>
    <w:rsid w:val="772A5AB9"/>
    <w:rsid w:val="77364257"/>
    <w:rsid w:val="774D3DC3"/>
    <w:rsid w:val="775457D3"/>
    <w:rsid w:val="77562C90"/>
    <w:rsid w:val="775C3CBE"/>
    <w:rsid w:val="77617526"/>
    <w:rsid w:val="7767712E"/>
    <w:rsid w:val="776A22E2"/>
    <w:rsid w:val="776D6580"/>
    <w:rsid w:val="77882D05"/>
    <w:rsid w:val="778C04E9"/>
    <w:rsid w:val="778F2765"/>
    <w:rsid w:val="77933457"/>
    <w:rsid w:val="779473C7"/>
    <w:rsid w:val="77A45665"/>
    <w:rsid w:val="77B360B7"/>
    <w:rsid w:val="77CB2BF1"/>
    <w:rsid w:val="77D05759"/>
    <w:rsid w:val="77E22291"/>
    <w:rsid w:val="77F23115"/>
    <w:rsid w:val="78125407"/>
    <w:rsid w:val="78163E0D"/>
    <w:rsid w:val="781A76D5"/>
    <w:rsid w:val="781F6C46"/>
    <w:rsid w:val="782B6988"/>
    <w:rsid w:val="78300AEE"/>
    <w:rsid w:val="783D7244"/>
    <w:rsid w:val="783F0EE9"/>
    <w:rsid w:val="784F14F7"/>
    <w:rsid w:val="78507637"/>
    <w:rsid w:val="7859168E"/>
    <w:rsid w:val="785E75C1"/>
    <w:rsid w:val="785F2EA7"/>
    <w:rsid w:val="7867796C"/>
    <w:rsid w:val="786D3CA8"/>
    <w:rsid w:val="787F40EE"/>
    <w:rsid w:val="78861FE0"/>
    <w:rsid w:val="788C05D2"/>
    <w:rsid w:val="788C2381"/>
    <w:rsid w:val="78985EAB"/>
    <w:rsid w:val="789E0306"/>
    <w:rsid w:val="789E5F80"/>
    <w:rsid w:val="78A51694"/>
    <w:rsid w:val="78AB0948"/>
    <w:rsid w:val="78B25122"/>
    <w:rsid w:val="78B2790D"/>
    <w:rsid w:val="78B4709E"/>
    <w:rsid w:val="78B57BD3"/>
    <w:rsid w:val="78B66251"/>
    <w:rsid w:val="78B95140"/>
    <w:rsid w:val="78BA27B5"/>
    <w:rsid w:val="78C14DB7"/>
    <w:rsid w:val="78C243BF"/>
    <w:rsid w:val="78CF4963"/>
    <w:rsid w:val="78D358E9"/>
    <w:rsid w:val="78D81144"/>
    <w:rsid w:val="78DB325B"/>
    <w:rsid w:val="78E76E9A"/>
    <w:rsid w:val="78F445CD"/>
    <w:rsid w:val="78F669DD"/>
    <w:rsid w:val="78F817C4"/>
    <w:rsid w:val="78FF3476"/>
    <w:rsid w:val="79047D24"/>
    <w:rsid w:val="7908577F"/>
    <w:rsid w:val="79110AD8"/>
    <w:rsid w:val="792073FF"/>
    <w:rsid w:val="79255B1E"/>
    <w:rsid w:val="79256621"/>
    <w:rsid w:val="792A1B99"/>
    <w:rsid w:val="79327BE3"/>
    <w:rsid w:val="793423B9"/>
    <w:rsid w:val="79352A18"/>
    <w:rsid w:val="79431640"/>
    <w:rsid w:val="79453667"/>
    <w:rsid w:val="794674FF"/>
    <w:rsid w:val="794F5E9D"/>
    <w:rsid w:val="7950305C"/>
    <w:rsid w:val="79596ED9"/>
    <w:rsid w:val="795B7FA5"/>
    <w:rsid w:val="796606AB"/>
    <w:rsid w:val="796936C5"/>
    <w:rsid w:val="797279F9"/>
    <w:rsid w:val="797D7F1B"/>
    <w:rsid w:val="797F165C"/>
    <w:rsid w:val="798B6440"/>
    <w:rsid w:val="79905EA0"/>
    <w:rsid w:val="79926809"/>
    <w:rsid w:val="799314ED"/>
    <w:rsid w:val="799534B7"/>
    <w:rsid w:val="79976759"/>
    <w:rsid w:val="799C0BFC"/>
    <w:rsid w:val="799C2A97"/>
    <w:rsid w:val="79A100AE"/>
    <w:rsid w:val="79B50C6F"/>
    <w:rsid w:val="79B871A5"/>
    <w:rsid w:val="79C1605A"/>
    <w:rsid w:val="79D044EF"/>
    <w:rsid w:val="79D319E8"/>
    <w:rsid w:val="79E06AB0"/>
    <w:rsid w:val="79E306C6"/>
    <w:rsid w:val="79F226B7"/>
    <w:rsid w:val="79FA156C"/>
    <w:rsid w:val="7A0527D6"/>
    <w:rsid w:val="7A073B40"/>
    <w:rsid w:val="7A1545F8"/>
    <w:rsid w:val="7A1E66A7"/>
    <w:rsid w:val="7A205476"/>
    <w:rsid w:val="7A3E3C86"/>
    <w:rsid w:val="7A421F6B"/>
    <w:rsid w:val="7A57076C"/>
    <w:rsid w:val="7A5D0673"/>
    <w:rsid w:val="7A61783D"/>
    <w:rsid w:val="7A7A445B"/>
    <w:rsid w:val="7A94376E"/>
    <w:rsid w:val="7A9C129D"/>
    <w:rsid w:val="7AA65FA6"/>
    <w:rsid w:val="7AAC617C"/>
    <w:rsid w:val="7AB20098"/>
    <w:rsid w:val="7ABA3126"/>
    <w:rsid w:val="7ABB0835"/>
    <w:rsid w:val="7ABE7A74"/>
    <w:rsid w:val="7AC3193E"/>
    <w:rsid w:val="7AD1051F"/>
    <w:rsid w:val="7AD11AEA"/>
    <w:rsid w:val="7AD825ED"/>
    <w:rsid w:val="7AE372DB"/>
    <w:rsid w:val="7AE7522B"/>
    <w:rsid w:val="7AF11E4A"/>
    <w:rsid w:val="7AF81F4F"/>
    <w:rsid w:val="7AFC756B"/>
    <w:rsid w:val="7B0A3D76"/>
    <w:rsid w:val="7B0A616D"/>
    <w:rsid w:val="7B152B01"/>
    <w:rsid w:val="7B1530FA"/>
    <w:rsid w:val="7B220D7A"/>
    <w:rsid w:val="7B242D44"/>
    <w:rsid w:val="7B27386D"/>
    <w:rsid w:val="7B2E25F1"/>
    <w:rsid w:val="7B43689E"/>
    <w:rsid w:val="7B4E6013"/>
    <w:rsid w:val="7B590514"/>
    <w:rsid w:val="7B5B76F6"/>
    <w:rsid w:val="7B5F5B2A"/>
    <w:rsid w:val="7B6A2721"/>
    <w:rsid w:val="7B6A65F9"/>
    <w:rsid w:val="7B73525D"/>
    <w:rsid w:val="7B754167"/>
    <w:rsid w:val="7B841502"/>
    <w:rsid w:val="7B856B69"/>
    <w:rsid w:val="7B8B4B71"/>
    <w:rsid w:val="7BA51FAA"/>
    <w:rsid w:val="7BA71431"/>
    <w:rsid w:val="7BA755EE"/>
    <w:rsid w:val="7BA774D1"/>
    <w:rsid w:val="7BAB65F0"/>
    <w:rsid w:val="7BC5601A"/>
    <w:rsid w:val="7BC938EC"/>
    <w:rsid w:val="7BD865C1"/>
    <w:rsid w:val="7BDE7397"/>
    <w:rsid w:val="7BE067C0"/>
    <w:rsid w:val="7BE20509"/>
    <w:rsid w:val="7BE67FFA"/>
    <w:rsid w:val="7BF7355E"/>
    <w:rsid w:val="7C041716"/>
    <w:rsid w:val="7C0F6F8D"/>
    <w:rsid w:val="7C1677B6"/>
    <w:rsid w:val="7C1832E2"/>
    <w:rsid w:val="7C2C3168"/>
    <w:rsid w:val="7C3F6F28"/>
    <w:rsid w:val="7C5411A5"/>
    <w:rsid w:val="7C5B5EDA"/>
    <w:rsid w:val="7C5C02BC"/>
    <w:rsid w:val="7C60764A"/>
    <w:rsid w:val="7C635AEE"/>
    <w:rsid w:val="7C732467"/>
    <w:rsid w:val="7C737518"/>
    <w:rsid w:val="7C7F077B"/>
    <w:rsid w:val="7C997888"/>
    <w:rsid w:val="7C9A2C55"/>
    <w:rsid w:val="7CA26617"/>
    <w:rsid w:val="7CB023B6"/>
    <w:rsid w:val="7CB41EA6"/>
    <w:rsid w:val="7CB570A3"/>
    <w:rsid w:val="7CB71592"/>
    <w:rsid w:val="7CC85D2E"/>
    <w:rsid w:val="7CCC5441"/>
    <w:rsid w:val="7CDE6F23"/>
    <w:rsid w:val="7CE33433"/>
    <w:rsid w:val="7CEA1D6C"/>
    <w:rsid w:val="7CEC7892"/>
    <w:rsid w:val="7CF95B0B"/>
    <w:rsid w:val="7CFA0A3C"/>
    <w:rsid w:val="7CFB25C5"/>
    <w:rsid w:val="7CFD1A9F"/>
    <w:rsid w:val="7D024938"/>
    <w:rsid w:val="7D0432EA"/>
    <w:rsid w:val="7D071A67"/>
    <w:rsid w:val="7D153027"/>
    <w:rsid w:val="7D1B1F25"/>
    <w:rsid w:val="7D240558"/>
    <w:rsid w:val="7D2C7C8E"/>
    <w:rsid w:val="7D300922"/>
    <w:rsid w:val="7D43322A"/>
    <w:rsid w:val="7D4E4391"/>
    <w:rsid w:val="7D592F5B"/>
    <w:rsid w:val="7D637428"/>
    <w:rsid w:val="7D6413B5"/>
    <w:rsid w:val="7D6A50D1"/>
    <w:rsid w:val="7D6C1F0C"/>
    <w:rsid w:val="7D6F7C2B"/>
    <w:rsid w:val="7D7358BD"/>
    <w:rsid w:val="7D7B5BD6"/>
    <w:rsid w:val="7D812A55"/>
    <w:rsid w:val="7D9828AA"/>
    <w:rsid w:val="7D9A5540"/>
    <w:rsid w:val="7DA15DD8"/>
    <w:rsid w:val="7DA54E7B"/>
    <w:rsid w:val="7DAD4B1E"/>
    <w:rsid w:val="7DAF0DF5"/>
    <w:rsid w:val="7DB12889"/>
    <w:rsid w:val="7DBA34EC"/>
    <w:rsid w:val="7DC313AE"/>
    <w:rsid w:val="7DC600E3"/>
    <w:rsid w:val="7DC761BC"/>
    <w:rsid w:val="7DCB35E0"/>
    <w:rsid w:val="7DCE4670"/>
    <w:rsid w:val="7DCE664D"/>
    <w:rsid w:val="7DDB6F5C"/>
    <w:rsid w:val="7DDE1C63"/>
    <w:rsid w:val="7DDF08B2"/>
    <w:rsid w:val="7DDF7781"/>
    <w:rsid w:val="7DEE13E8"/>
    <w:rsid w:val="7DF32EA2"/>
    <w:rsid w:val="7E0E6C5F"/>
    <w:rsid w:val="7E1F77F3"/>
    <w:rsid w:val="7E2F19E9"/>
    <w:rsid w:val="7E2F58AE"/>
    <w:rsid w:val="7E3037AE"/>
    <w:rsid w:val="7E425FDC"/>
    <w:rsid w:val="7E464EB2"/>
    <w:rsid w:val="7E5724CE"/>
    <w:rsid w:val="7E57351B"/>
    <w:rsid w:val="7E5B4BE3"/>
    <w:rsid w:val="7E6C79E8"/>
    <w:rsid w:val="7E6E14DC"/>
    <w:rsid w:val="7E8458A8"/>
    <w:rsid w:val="7E8D6E52"/>
    <w:rsid w:val="7E9006F1"/>
    <w:rsid w:val="7E991353"/>
    <w:rsid w:val="7EA5200A"/>
    <w:rsid w:val="7EB90785"/>
    <w:rsid w:val="7ECB34D7"/>
    <w:rsid w:val="7ED06D3F"/>
    <w:rsid w:val="7ED24865"/>
    <w:rsid w:val="7ED625A7"/>
    <w:rsid w:val="7EE03426"/>
    <w:rsid w:val="7EE54599"/>
    <w:rsid w:val="7EE73DD3"/>
    <w:rsid w:val="7EE97E69"/>
    <w:rsid w:val="7EEF15E6"/>
    <w:rsid w:val="7F08472B"/>
    <w:rsid w:val="7F0D1D41"/>
    <w:rsid w:val="7F0F3C4C"/>
    <w:rsid w:val="7F102E25"/>
    <w:rsid w:val="7F2552DD"/>
    <w:rsid w:val="7F2B3490"/>
    <w:rsid w:val="7F4D213E"/>
    <w:rsid w:val="7F531E4A"/>
    <w:rsid w:val="7F6C2901"/>
    <w:rsid w:val="7F78540D"/>
    <w:rsid w:val="7F81479C"/>
    <w:rsid w:val="7F961536"/>
    <w:rsid w:val="7F9C3A4F"/>
    <w:rsid w:val="7FB772DD"/>
    <w:rsid w:val="7FCE327F"/>
    <w:rsid w:val="7FD5728C"/>
    <w:rsid w:val="7FE66A22"/>
    <w:rsid w:val="7FEB2083"/>
    <w:rsid w:val="7FED0787"/>
    <w:rsid w:val="7FF352B9"/>
    <w:rsid w:val="7FFA22C6"/>
    <w:rsid w:val="7FFD1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4"/>
    <w:qFormat/>
    <w:uiPriority w:val="0"/>
    <w:pPr>
      <w:keepNext/>
      <w:keepLines/>
      <w:numPr>
        <w:ilvl w:val="0"/>
        <w:numId w:val="1"/>
      </w:numPr>
      <w:tabs>
        <w:tab w:val="left" w:pos="0"/>
      </w:tabs>
      <w:spacing w:beforeLines="100" w:afterLines="100" w:line="360" w:lineRule="auto"/>
      <w:jc w:val="center"/>
      <w:outlineLvl w:val="0"/>
    </w:pPr>
    <w:rPr>
      <w:rFonts w:eastAsia="微软雅黑"/>
      <w:b/>
      <w:bCs/>
      <w:kern w:val="44"/>
      <w:sz w:val="36"/>
      <w:szCs w:val="44"/>
    </w:rPr>
  </w:style>
  <w:style w:type="paragraph" w:styleId="3">
    <w:name w:val="heading 2"/>
    <w:basedOn w:val="1"/>
    <w:next w:val="1"/>
    <w:link w:val="42"/>
    <w:qFormat/>
    <w:uiPriority w:val="9"/>
    <w:pPr>
      <w:keepNext/>
      <w:keepLines/>
      <w:numPr>
        <w:ilvl w:val="1"/>
        <w:numId w:val="1"/>
      </w:numPr>
      <w:spacing w:line="360" w:lineRule="auto"/>
      <w:outlineLvl w:val="1"/>
    </w:pPr>
    <w:rPr>
      <w:rFonts w:ascii="Arial" w:hAnsi="Arial"/>
      <w:b/>
      <w:bCs/>
      <w:sz w:val="28"/>
      <w:szCs w:val="32"/>
    </w:rPr>
  </w:style>
  <w:style w:type="paragraph" w:styleId="4">
    <w:name w:val="heading 3"/>
    <w:basedOn w:val="1"/>
    <w:next w:val="1"/>
    <w:link w:val="55"/>
    <w:qFormat/>
    <w:uiPriority w:val="9"/>
    <w:pPr>
      <w:keepNext/>
      <w:keepLines/>
      <w:numPr>
        <w:ilvl w:val="2"/>
        <w:numId w:val="1"/>
      </w:numPr>
      <w:outlineLvl w:val="2"/>
    </w:pPr>
    <w:rPr>
      <w:rFonts w:ascii="宋体" w:hAnsi="宋体" w:eastAsia="黑体"/>
      <w:bCs/>
      <w:sz w:val="24"/>
      <w:szCs w:val="28"/>
    </w:rPr>
  </w:style>
  <w:style w:type="paragraph" w:styleId="5">
    <w:name w:val="heading 4"/>
    <w:basedOn w:val="1"/>
    <w:next w:val="1"/>
    <w:qFormat/>
    <w:uiPriority w:val="0"/>
    <w:pPr>
      <w:keepNext/>
      <w:keepLines/>
      <w:numPr>
        <w:ilvl w:val="3"/>
        <w:numId w:val="1"/>
      </w:numPr>
      <w:spacing w:before="120" w:after="120" w:line="360" w:lineRule="auto"/>
      <w:jc w:val="center"/>
      <w:outlineLvl w:val="3"/>
    </w:pPr>
    <w:rPr>
      <w:rFonts w:ascii="Arial" w:hAnsi="Arial" w:eastAsia="黑体"/>
      <w:sz w:val="28"/>
    </w:rPr>
  </w:style>
  <w:style w:type="paragraph" w:styleId="6">
    <w:name w:val="heading 5"/>
    <w:basedOn w:val="1"/>
    <w:next w:val="1"/>
    <w:link w:val="56"/>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2"/>
    <w:qFormat/>
    <w:uiPriority w:val="99"/>
    <w:pPr>
      <w:keepNext/>
      <w:keepLines/>
      <w:widowControl/>
      <w:numPr>
        <w:ilvl w:val="5"/>
        <w:numId w:val="1"/>
      </w:numPr>
      <w:spacing w:before="240" w:after="64" w:line="317" w:lineRule="auto"/>
      <w:jc w:val="left"/>
      <w:outlineLvl w:val="5"/>
    </w:pPr>
    <w:rPr>
      <w:rFonts w:ascii="Arial" w:hAnsi="Arial" w:eastAsia="黑体" w:cs="Times New Roman"/>
      <w:b/>
      <w:bCs/>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71"/>
    <w:qFormat/>
    <w:uiPriority w:val="99"/>
    <w:pPr>
      <w:ind w:firstLine="420"/>
    </w:pPr>
    <w:rPr>
      <w:szCs w:val="20"/>
    </w:rPr>
  </w:style>
  <w:style w:type="paragraph" w:styleId="12">
    <w:name w:val="annotation text"/>
    <w:basedOn w:val="1"/>
    <w:link w:val="58"/>
    <w:qFormat/>
    <w:uiPriority w:val="0"/>
    <w:pPr>
      <w:jc w:val="left"/>
    </w:pPr>
  </w:style>
  <w:style w:type="paragraph" w:styleId="13">
    <w:name w:val="Body Text 3"/>
    <w:basedOn w:val="1"/>
    <w:link w:val="59"/>
    <w:qFormat/>
    <w:uiPriority w:val="0"/>
    <w:pPr>
      <w:spacing w:beforeLines="50"/>
    </w:pPr>
    <w:rPr>
      <w:rFonts w:ascii="宋体" w:hAnsi="宋体"/>
      <w:szCs w:val="20"/>
    </w:rPr>
  </w:style>
  <w:style w:type="paragraph" w:styleId="14">
    <w:name w:val="Body Text"/>
    <w:basedOn w:val="1"/>
    <w:next w:val="1"/>
    <w:link w:val="82"/>
    <w:qFormat/>
    <w:uiPriority w:val="99"/>
    <w:pPr>
      <w:spacing w:after="120"/>
    </w:pPr>
  </w:style>
  <w:style w:type="paragraph" w:styleId="15">
    <w:name w:val="Body Text Indent"/>
    <w:basedOn w:val="1"/>
    <w:next w:val="1"/>
    <w:link w:val="60"/>
    <w:qFormat/>
    <w:uiPriority w:val="99"/>
    <w:pPr>
      <w:spacing w:after="120"/>
      <w:ind w:left="420" w:leftChars="200"/>
    </w:pPr>
  </w:style>
  <w:style w:type="paragraph" w:styleId="16">
    <w:name w:val="toc 3"/>
    <w:basedOn w:val="1"/>
    <w:next w:val="1"/>
    <w:qFormat/>
    <w:uiPriority w:val="39"/>
    <w:pPr>
      <w:ind w:left="840" w:leftChars="400"/>
    </w:pPr>
  </w:style>
  <w:style w:type="paragraph" w:styleId="17">
    <w:name w:val="Plain Text"/>
    <w:basedOn w:val="1"/>
    <w:link w:val="81"/>
    <w:qFormat/>
    <w:uiPriority w:val="99"/>
    <w:rPr>
      <w:rFonts w:ascii="宋体" w:hAnsi="Courier New"/>
      <w:szCs w:val="20"/>
    </w:rPr>
  </w:style>
  <w:style w:type="paragraph" w:styleId="18">
    <w:name w:val="Body Text Indent 2"/>
    <w:basedOn w:val="1"/>
    <w:link w:val="73"/>
    <w:qFormat/>
    <w:uiPriority w:val="99"/>
    <w:pPr>
      <w:spacing w:after="120" w:line="480" w:lineRule="auto"/>
      <w:ind w:left="420" w:leftChars="200"/>
    </w:pPr>
    <w:rPr>
      <w:rFonts w:ascii="Times New Roman" w:hAnsi="Times New Roman" w:eastAsia="楷体_GB2312" w:cs="Times New Roman"/>
      <w:kern w:val="0"/>
      <w:sz w:val="20"/>
      <w:szCs w:val="20"/>
    </w:rPr>
  </w:style>
  <w:style w:type="paragraph" w:styleId="19">
    <w:name w:val="Balloon Text"/>
    <w:basedOn w:val="1"/>
    <w:link w:val="80"/>
    <w:qFormat/>
    <w:uiPriority w:val="99"/>
    <w:rPr>
      <w:rFonts w:ascii="Times New Roman" w:hAnsi="Times New Roman" w:eastAsia="楷体_GB2312" w:cs="Times New Roman"/>
      <w:kern w:val="0"/>
      <w:sz w:val="16"/>
      <w:szCs w:val="16"/>
    </w:rPr>
  </w:style>
  <w:style w:type="paragraph" w:styleId="20">
    <w:name w:val="footer"/>
    <w:basedOn w:val="1"/>
    <w:link w:val="50"/>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ind w:firstLine="200"/>
    </w:pPr>
    <w:rPr>
      <w:rFonts w:ascii="Arial" w:hAnsi="Arial" w:cs="Arial"/>
      <w:szCs w:val="20"/>
    </w:rPr>
  </w:style>
  <w:style w:type="paragraph" w:styleId="22">
    <w:name w:val="header"/>
    <w:basedOn w:val="1"/>
    <w:link w:val="5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qFormat/>
    <w:uiPriority w:val="39"/>
    <w:pPr>
      <w:spacing w:before="120" w:after="120"/>
      <w:jc w:val="left"/>
    </w:pPr>
    <w:rPr>
      <w:rFonts w:cs="Calibri"/>
      <w:b/>
      <w:bCs/>
      <w:caps/>
      <w:sz w:val="20"/>
      <w:szCs w:val="20"/>
    </w:rPr>
  </w:style>
  <w:style w:type="paragraph" w:styleId="24">
    <w:name w:val="footnote text"/>
    <w:basedOn w:val="1"/>
    <w:link w:val="62"/>
    <w:unhideWhenUsed/>
    <w:qFormat/>
    <w:uiPriority w:val="0"/>
    <w:pPr>
      <w:snapToGrid w:val="0"/>
      <w:jc w:val="left"/>
    </w:pPr>
    <w:rPr>
      <w:sz w:val="18"/>
      <w:szCs w:val="18"/>
    </w:rPr>
  </w:style>
  <w:style w:type="paragraph" w:styleId="25">
    <w:name w:val="Body Text Indent 3"/>
    <w:basedOn w:val="1"/>
    <w:link w:val="68"/>
    <w:qFormat/>
    <w:uiPriority w:val="99"/>
    <w:pPr>
      <w:spacing w:after="120"/>
      <w:ind w:left="420" w:leftChars="200"/>
    </w:pPr>
    <w:rPr>
      <w:sz w:val="16"/>
      <w:szCs w:val="16"/>
    </w:rPr>
  </w:style>
  <w:style w:type="paragraph" w:styleId="26">
    <w:name w:val="toc 2"/>
    <w:basedOn w:val="1"/>
    <w:next w:val="1"/>
    <w:qFormat/>
    <w:uiPriority w:val="39"/>
    <w:pPr>
      <w:ind w:left="420" w:leftChars="200"/>
    </w:pPr>
  </w:style>
  <w:style w:type="paragraph" w:styleId="27">
    <w:name w:val="Normal (Web)"/>
    <w:basedOn w:val="1"/>
    <w:qFormat/>
    <w:uiPriority w:val="0"/>
    <w:pPr>
      <w:spacing w:before="100" w:beforeAutospacing="1" w:after="100" w:afterAutospacing="1"/>
    </w:pPr>
    <w:rPr>
      <w:rFonts w:ascii="宋体" w:hAnsi="宋体" w:eastAsia="宋体" w:cs="宋体"/>
      <w:sz w:val="24"/>
    </w:rPr>
  </w:style>
  <w:style w:type="paragraph" w:styleId="28">
    <w:name w:val="index 1"/>
    <w:basedOn w:val="1"/>
    <w:next w:val="1"/>
    <w:semiHidden/>
    <w:qFormat/>
    <w:uiPriority w:val="0"/>
    <w:pPr>
      <w:spacing w:line="220" w:lineRule="exact"/>
      <w:jc w:val="center"/>
    </w:pPr>
    <w:rPr>
      <w:rFonts w:ascii="仿宋_GB2312" w:eastAsia="仿宋_GB2312"/>
      <w:szCs w:val="21"/>
    </w:rPr>
  </w:style>
  <w:style w:type="paragraph" w:styleId="29">
    <w:name w:val="annotation subject"/>
    <w:basedOn w:val="12"/>
    <w:next w:val="12"/>
    <w:link w:val="90"/>
    <w:qFormat/>
    <w:uiPriority w:val="0"/>
    <w:rPr>
      <w:b/>
      <w:bCs/>
    </w:rPr>
  </w:style>
  <w:style w:type="paragraph" w:styleId="30">
    <w:name w:val="Body Text First Indent 2"/>
    <w:basedOn w:val="15"/>
    <w:next w:val="14"/>
    <w:qFormat/>
    <w:uiPriority w:val="0"/>
    <w:pPr>
      <w:ind w:firstLine="420"/>
    </w:pPr>
  </w:style>
  <w:style w:type="table" w:styleId="32">
    <w:name w:val="Table Grid"/>
    <w:basedOn w:val="31"/>
    <w:qFormat/>
    <w:uiPriority w:val="0"/>
    <w:rPr>
      <w:rFonts w:eastAsia="楷体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age number"/>
    <w:basedOn w:val="33"/>
    <w:qFormat/>
    <w:uiPriority w:val="99"/>
  </w:style>
  <w:style w:type="character" w:styleId="35">
    <w:name w:val="Hyperlink"/>
    <w:basedOn w:val="33"/>
    <w:unhideWhenUsed/>
    <w:qFormat/>
    <w:uiPriority w:val="99"/>
    <w:rPr>
      <w:color w:val="0563C1" w:themeColor="hyperlink"/>
      <w:u w:val="single"/>
      <w14:textFill>
        <w14:solidFill>
          <w14:schemeClr w14:val="hlink"/>
        </w14:solidFill>
      </w14:textFill>
    </w:rPr>
  </w:style>
  <w:style w:type="character" w:styleId="36">
    <w:name w:val="annotation reference"/>
    <w:qFormat/>
    <w:uiPriority w:val="0"/>
    <w:rPr>
      <w:sz w:val="21"/>
      <w:szCs w:val="21"/>
    </w:rPr>
  </w:style>
  <w:style w:type="character" w:styleId="37">
    <w:name w:val="footnote reference"/>
    <w:qFormat/>
    <w:uiPriority w:val="0"/>
    <w:rPr>
      <w:vertAlign w:val="superscript"/>
    </w:rPr>
  </w:style>
  <w:style w:type="paragraph" w:customStyle="1" w:styleId="38">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9">
    <w:name w:val="表格"/>
    <w:basedOn w:val="1"/>
    <w:qFormat/>
    <w:uiPriority w:val="0"/>
    <w:pPr>
      <w:textAlignment w:val="center"/>
    </w:pPr>
    <w:rPr>
      <w:rFonts w:ascii="华文细黑" w:hAnsi="华文细黑"/>
      <w:kern w:val="0"/>
      <w:szCs w:val="20"/>
    </w:rPr>
  </w:style>
  <w:style w:type="paragraph" w:customStyle="1" w:styleId="40">
    <w:name w:val="正文 题目"/>
    <w:basedOn w:val="1"/>
    <w:qFormat/>
    <w:uiPriority w:val="0"/>
    <w:pPr>
      <w:jc w:val="center"/>
    </w:pPr>
    <w:rPr>
      <w:rFonts w:ascii="黑体" w:hAnsi="黑体" w:eastAsia="黑体"/>
      <w:sz w:val="28"/>
    </w:rPr>
  </w:style>
  <w:style w:type="paragraph" w:customStyle="1" w:styleId="41">
    <w:name w:val="列出段落1"/>
    <w:basedOn w:val="1"/>
    <w:qFormat/>
    <w:uiPriority w:val="99"/>
    <w:rPr>
      <w:rFonts w:ascii="Times New Roman" w:hAnsi="Times New Roman"/>
    </w:rPr>
  </w:style>
  <w:style w:type="character" w:customStyle="1" w:styleId="42">
    <w:name w:val="标题 2 Char"/>
    <w:link w:val="3"/>
    <w:qFormat/>
    <w:uiPriority w:val="9"/>
    <w:rPr>
      <w:rFonts w:ascii="Arial" w:hAnsi="Arial"/>
      <w:b/>
      <w:bCs/>
      <w:sz w:val="28"/>
      <w:szCs w:val="32"/>
    </w:rPr>
  </w:style>
  <w:style w:type="paragraph" w:customStyle="1" w:styleId="4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46">
    <w:name w:val="font21"/>
    <w:basedOn w:val="33"/>
    <w:qFormat/>
    <w:uiPriority w:val="0"/>
    <w:rPr>
      <w:rFonts w:hint="eastAsia" w:ascii="宋体" w:hAnsi="宋体" w:eastAsia="宋体" w:cs="宋体"/>
      <w:color w:val="000000"/>
      <w:sz w:val="24"/>
      <w:szCs w:val="24"/>
      <w:u w:val="none"/>
    </w:rPr>
  </w:style>
  <w:style w:type="character" w:customStyle="1" w:styleId="47">
    <w:name w:val="font01"/>
    <w:basedOn w:val="33"/>
    <w:qFormat/>
    <w:uiPriority w:val="0"/>
    <w:rPr>
      <w:rFonts w:hint="default" w:ascii="Times New Roman" w:hAnsi="Times New Roman" w:cs="Times New Roman"/>
      <w:color w:val="000000"/>
      <w:sz w:val="24"/>
      <w:szCs w:val="24"/>
      <w:u w:val="none"/>
    </w:rPr>
  </w:style>
  <w:style w:type="character" w:customStyle="1" w:styleId="48">
    <w:name w:val="font11"/>
    <w:basedOn w:val="33"/>
    <w:qFormat/>
    <w:uiPriority w:val="0"/>
    <w:rPr>
      <w:rFonts w:hint="default" w:ascii="Times New Roman" w:hAnsi="Times New Roman" w:cs="Times New Roman"/>
      <w:color w:val="000000"/>
      <w:sz w:val="20"/>
      <w:szCs w:val="20"/>
      <w:u w:val="none"/>
    </w:rPr>
  </w:style>
  <w:style w:type="character" w:customStyle="1" w:styleId="49">
    <w:name w:val="font31"/>
    <w:basedOn w:val="33"/>
    <w:qFormat/>
    <w:uiPriority w:val="0"/>
    <w:rPr>
      <w:rFonts w:hint="eastAsia" w:ascii="宋体" w:hAnsi="宋体" w:eastAsia="宋体" w:cs="宋体"/>
      <w:color w:val="000000"/>
      <w:sz w:val="20"/>
      <w:szCs w:val="20"/>
      <w:u w:val="none"/>
    </w:rPr>
  </w:style>
  <w:style w:type="character" w:customStyle="1" w:styleId="50">
    <w:name w:val="页脚 Char"/>
    <w:basedOn w:val="33"/>
    <w:link w:val="20"/>
    <w:qFormat/>
    <w:uiPriority w:val="99"/>
    <w:rPr>
      <w:rFonts w:asciiTheme="minorHAnsi" w:hAnsiTheme="minorHAnsi" w:eastAsiaTheme="minorEastAsia" w:cstheme="minorBidi"/>
      <w:kern w:val="2"/>
      <w:sz w:val="18"/>
      <w:szCs w:val="18"/>
    </w:rPr>
  </w:style>
  <w:style w:type="paragraph" w:styleId="51">
    <w:name w:val="List Paragraph"/>
    <w:basedOn w:val="1"/>
    <w:qFormat/>
    <w:uiPriority w:val="34"/>
    <w:pPr>
      <w:ind w:firstLine="420" w:firstLineChars="200"/>
    </w:pPr>
  </w:style>
  <w:style w:type="character" w:customStyle="1" w:styleId="52">
    <w:name w:val="标题 6 Char"/>
    <w:basedOn w:val="33"/>
    <w:link w:val="7"/>
    <w:qFormat/>
    <w:uiPriority w:val="99"/>
    <w:rPr>
      <w:rFonts w:ascii="Arial" w:hAnsi="Arial" w:eastAsia="黑体"/>
      <w:b/>
      <w:bCs/>
      <w:kern w:val="2"/>
      <w:sz w:val="24"/>
      <w:szCs w:val="24"/>
    </w:rPr>
  </w:style>
  <w:style w:type="character" w:customStyle="1" w:styleId="53">
    <w:name w:val="页眉 Char"/>
    <w:basedOn w:val="33"/>
    <w:link w:val="22"/>
    <w:qFormat/>
    <w:uiPriority w:val="99"/>
    <w:rPr>
      <w:rFonts w:asciiTheme="minorHAnsi" w:hAnsiTheme="minorHAnsi" w:eastAsiaTheme="minorEastAsia" w:cstheme="minorBidi"/>
      <w:kern w:val="2"/>
      <w:sz w:val="18"/>
      <w:szCs w:val="24"/>
    </w:rPr>
  </w:style>
  <w:style w:type="character" w:customStyle="1" w:styleId="54">
    <w:name w:val="标题 1 Char"/>
    <w:basedOn w:val="33"/>
    <w:link w:val="2"/>
    <w:qFormat/>
    <w:uiPriority w:val="0"/>
    <w:rPr>
      <w:rFonts w:eastAsia="微软雅黑" w:asciiTheme="minorHAnsi" w:hAnsiTheme="minorHAnsi" w:cstheme="minorBidi"/>
      <w:b/>
      <w:bCs/>
      <w:kern w:val="44"/>
      <w:sz w:val="36"/>
      <w:szCs w:val="44"/>
    </w:rPr>
  </w:style>
  <w:style w:type="character" w:customStyle="1" w:styleId="55">
    <w:name w:val="标题 3 Char"/>
    <w:basedOn w:val="33"/>
    <w:link w:val="4"/>
    <w:qFormat/>
    <w:uiPriority w:val="9"/>
    <w:rPr>
      <w:rFonts w:ascii="宋体" w:hAnsi="宋体" w:eastAsia="黑体" w:cstheme="minorBidi"/>
      <w:bCs/>
      <w:kern w:val="2"/>
      <w:sz w:val="24"/>
      <w:szCs w:val="28"/>
    </w:rPr>
  </w:style>
  <w:style w:type="character" w:customStyle="1" w:styleId="56">
    <w:name w:val="标题 5 Char"/>
    <w:basedOn w:val="33"/>
    <w:link w:val="6"/>
    <w:qFormat/>
    <w:uiPriority w:val="9"/>
    <w:rPr>
      <w:rFonts w:asciiTheme="minorHAnsi" w:hAnsiTheme="minorHAnsi" w:eastAsiaTheme="minorEastAsia" w:cstheme="minorBidi"/>
      <w:b/>
      <w:bCs/>
      <w:kern w:val="2"/>
      <w:sz w:val="28"/>
      <w:szCs w:val="28"/>
    </w:rPr>
  </w:style>
  <w:style w:type="character" w:customStyle="1" w:styleId="57">
    <w:name w:val="正文文本 字符"/>
    <w:basedOn w:val="33"/>
    <w:qFormat/>
    <w:uiPriority w:val="99"/>
    <w:rPr>
      <w:szCs w:val="24"/>
    </w:rPr>
  </w:style>
  <w:style w:type="character" w:customStyle="1" w:styleId="58">
    <w:name w:val="批注文字 Char"/>
    <w:basedOn w:val="33"/>
    <w:link w:val="12"/>
    <w:qFormat/>
    <w:uiPriority w:val="0"/>
    <w:rPr>
      <w:rFonts w:asciiTheme="minorHAnsi" w:hAnsiTheme="minorHAnsi" w:eastAsiaTheme="minorEastAsia" w:cstheme="minorBidi"/>
      <w:kern w:val="2"/>
      <w:sz w:val="21"/>
      <w:szCs w:val="24"/>
    </w:rPr>
  </w:style>
  <w:style w:type="character" w:customStyle="1" w:styleId="59">
    <w:name w:val="正文文本 3 Char"/>
    <w:basedOn w:val="33"/>
    <w:link w:val="13"/>
    <w:qFormat/>
    <w:uiPriority w:val="0"/>
    <w:rPr>
      <w:rFonts w:ascii="宋体" w:hAnsi="宋体" w:eastAsiaTheme="minorEastAsia" w:cstheme="minorBidi"/>
      <w:kern w:val="2"/>
      <w:sz w:val="21"/>
    </w:rPr>
  </w:style>
  <w:style w:type="character" w:customStyle="1" w:styleId="60">
    <w:name w:val="正文文本缩进 Char"/>
    <w:basedOn w:val="33"/>
    <w:link w:val="15"/>
    <w:qFormat/>
    <w:uiPriority w:val="99"/>
    <w:rPr>
      <w:rFonts w:asciiTheme="minorHAnsi" w:hAnsiTheme="minorHAnsi" w:eastAsiaTheme="minorEastAsia" w:cstheme="minorBidi"/>
      <w:kern w:val="2"/>
      <w:sz w:val="21"/>
      <w:szCs w:val="24"/>
    </w:rPr>
  </w:style>
  <w:style w:type="character" w:customStyle="1" w:styleId="61">
    <w:name w:val="纯文本 字符"/>
    <w:basedOn w:val="33"/>
    <w:qFormat/>
    <w:uiPriority w:val="99"/>
    <w:rPr>
      <w:rFonts w:hAnsi="Courier New" w:cs="Courier New" w:asciiTheme="minorEastAsia"/>
      <w:szCs w:val="24"/>
    </w:rPr>
  </w:style>
  <w:style w:type="character" w:customStyle="1" w:styleId="62">
    <w:name w:val="脚注文本 Char"/>
    <w:basedOn w:val="33"/>
    <w:link w:val="24"/>
    <w:qFormat/>
    <w:uiPriority w:val="0"/>
    <w:rPr>
      <w:rFonts w:asciiTheme="minorHAnsi" w:hAnsiTheme="minorHAnsi" w:eastAsiaTheme="minorEastAsia" w:cstheme="minorBidi"/>
      <w:kern w:val="2"/>
      <w:sz w:val="18"/>
      <w:szCs w:val="18"/>
    </w:rPr>
  </w:style>
  <w:style w:type="character" w:styleId="63">
    <w:name w:val="Placeholder Text"/>
    <w:basedOn w:val="33"/>
    <w:semiHidden/>
    <w:qFormat/>
    <w:uiPriority w:val="99"/>
    <w:rPr>
      <w:color w:val="808080"/>
    </w:rPr>
  </w:style>
  <w:style w:type="paragraph" w:customStyle="1" w:styleId="64">
    <w:name w:val="CM8"/>
    <w:basedOn w:val="38"/>
    <w:next w:val="38"/>
    <w:qFormat/>
    <w:uiPriority w:val="99"/>
    <w:pPr>
      <w:adjustRightInd w:val="0"/>
    </w:pPr>
    <w:rPr>
      <w:rFonts w:hint="default" w:ascii="Sim Hei" w:hAnsi="Calibri" w:eastAsia="Sim Hei"/>
      <w:color w:val="auto"/>
      <w:szCs w:val="24"/>
    </w:rPr>
  </w:style>
  <w:style w:type="paragraph" w:customStyle="1" w:styleId="65">
    <w:name w:val="CM12"/>
    <w:basedOn w:val="38"/>
    <w:next w:val="38"/>
    <w:qFormat/>
    <w:uiPriority w:val="99"/>
    <w:pPr>
      <w:adjustRightInd w:val="0"/>
      <w:spacing w:line="546" w:lineRule="atLeast"/>
    </w:pPr>
    <w:rPr>
      <w:rFonts w:hint="default" w:ascii="Sim Hei" w:hAnsi="Calibri" w:eastAsia="Sim Hei"/>
      <w:color w:val="auto"/>
      <w:szCs w:val="24"/>
    </w:rPr>
  </w:style>
  <w:style w:type="paragraph" w:customStyle="1" w:styleId="66">
    <w:name w:val="CM23"/>
    <w:basedOn w:val="38"/>
    <w:next w:val="38"/>
    <w:qFormat/>
    <w:uiPriority w:val="99"/>
    <w:pPr>
      <w:adjustRightInd w:val="0"/>
      <w:spacing w:line="546" w:lineRule="atLeast"/>
    </w:pPr>
    <w:rPr>
      <w:rFonts w:hint="default" w:ascii="Sim Hei" w:hAnsi="Calibri" w:eastAsia="Sim Hei"/>
      <w:color w:val="auto"/>
      <w:szCs w:val="24"/>
    </w:rPr>
  </w:style>
  <w:style w:type="paragraph" w:customStyle="1" w:styleId="67">
    <w:name w:val="CM32"/>
    <w:basedOn w:val="38"/>
    <w:next w:val="38"/>
    <w:qFormat/>
    <w:uiPriority w:val="99"/>
    <w:pPr>
      <w:adjustRightInd w:val="0"/>
    </w:pPr>
    <w:rPr>
      <w:rFonts w:hint="default" w:ascii="Sim Hei" w:hAnsi="Calibri" w:eastAsia="Sim Hei"/>
      <w:color w:val="auto"/>
      <w:szCs w:val="24"/>
    </w:rPr>
  </w:style>
  <w:style w:type="character" w:customStyle="1" w:styleId="68">
    <w:name w:val="正文文本缩进 3 Char"/>
    <w:basedOn w:val="33"/>
    <w:link w:val="25"/>
    <w:qFormat/>
    <w:uiPriority w:val="99"/>
    <w:rPr>
      <w:rFonts w:asciiTheme="minorHAnsi" w:hAnsiTheme="minorHAnsi" w:eastAsiaTheme="minorEastAsia" w:cstheme="minorBidi"/>
      <w:kern w:val="2"/>
      <w:sz w:val="16"/>
      <w:szCs w:val="16"/>
    </w:rPr>
  </w:style>
  <w:style w:type="paragraph" w:customStyle="1" w:styleId="69">
    <w:name w:val="灿"/>
    <w:basedOn w:val="1"/>
    <w:qFormat/>
    <w:uiPriority w:val="99"/>
    <w:pPr>
      <w:tabs>
        <w:tab w:val="left" w:pos="2160"/>
        <w:tab w:val="left" w:pos="2520"/>
        <w:tab w:val="left" w:pos="2880"/>
        <w:tab w:val="left" w:pos="3240"/>
      </w:tabs>
    </w:pPr>
    <w:rPr>
      <w:rFonts w:ascii="華康中楷體" w:hAnsi="Arial" w:eastAsia="華康中楷體" w:cs="Times New Roman"/>
      <w:kern w:val="0"/>
      <w:sz w:val="24"/>
      <w:szCs w:val="20"/>
      <w:lang w:eastAsia="en-US"/>
    </w:rPr>
  </w:style>
  <w:style w:type="paragraph" w:customStyle="1" w:styleId="70">
    <w:name w:val="p0"/>
    <w:basedOn w:val="1"/>
    <w:qFormat/>
    <w:uiPriority w:val="0"/>
    <w:pPr>
      <w:widowControl/>
      <w:jc w:val="left"/>
    </w:pPr>
    <w:rPr>
      <w:rFonts w:ascii="Calibri" w:hAnsi="Calibri" w:eastAsia="宋体" w:cs="宋体"/>
      <w:kern w:val="0"/>
      <w:sz w:val="24"/>
      <w:szCs w:val="21"/>
    </w:rPr>
  </w:style>
  <w:style w:type="character" w:customStyle="1" w:styleId="71">
    <w:name w:val="正文缩进 Char"/>
    <w:basedOn w:val="33"/>
    <w:link w:val="11"/>
    <w:qFormat/>
    <w:uiPriority w:val="99"/>
    <w:rPr>
      <w:rFonts w:asciiTheme="minorHAnsi" w:hAnsiTheme="minorHAnsi" w:eastAsiaTheme="minorEastAsia" w:cstheme="minorBidi"/>
      <w:kern w:val="2"/>
      <w:sz w:val="21"/>
    </w:rPr>
  </w:style>
  <w:style w:type="character" w:customStyle="1" w:styleId="72">
    <w:name w:val="Body Text Indent 3 Char"/>
    <w:qFormat/>
    <w:locked/>
    <w:uiPriority w:val="99"/>
    <w:rPr>
      <w:rFonts w:cs="Times New Roman"/>
      <w:kern w:val="2"/>
      <w:sz w:val="16"/>
      <w:szCs w:val="16"/>
    </w:rPr>
  </w:style>
  <w:style w:type="character" w:customStyle="1" w:styleId="73">
    <w:name w:val="正文文本缩进 2 Char"/>
    <w:link w:val="18"/>
    <w:autoRedefine/>
    <w:qFormat/>
    <w:uiPriority w:val="99"/>
  </w:style>
  <w:style w:type="character" w:customStyle="1" w:styleId="74">
    <w:name w:val="apple-style-span"/>
    <w:basedOn w:val="33"/>
    <w:qFormat/>
    <w:uiPriority w:val="99"/>
    <w:rPr>
      <w:rFonts w:cs="Times New Roman"/>
    </w:rPr>
  </w:style>
  <w:style w:type="character" w:customStyle="1" w:styleId="75">
    <w:name w:val="apple-converted-space"/>
    <w:qFormat/>
    <w:uiPriority w:val="99"/>
    <w:rPr>
      <w:rFonts w:cs="Times New Roman"/>
    </w:rPr>
  </w:style>
  <w:style w:type="character" w:customStyle="1" w:styleId="76">
    <w:name w:val="Footer Char"/>
    <w:autoRedefine/>
    <w:qFormat/>
    <w:locked/>
    <w:uiPriority w:val="99"/>
    <w:rPr>
      <w:rFonts w:cs="Times New Roman"/>
      <w:kern w:val="2"/>
      <w:sz w:val="18"/>
      <w:szCs w:val="18"/>
    </w:rPr>
  </w:style>
  <w:style w:type="character" w:customStyle="1" w:styleId="77">
    <w:name w:val="Balloon Text Char"/>
    <w:autoRedefine/>
    <w:semiHidden/>
    <w:qFormat/>
    <w:locked/>
    <w:uiPriority w:val="99"/>
    <w:rPr>
      <w:rFonts w:cs="Times New Roman"/>
      <w:kern w:val="2"/>
      <w:sz w:val="18"/>
      <w:szCs w:val="18"/>
    </w:rPr>
  </w:style>
  <w:style w:type="character" w:customStyle="1" w:styleId="78">
    <w:name w:val="sbody1"/>
    <w:autoRedefine/>
    <w:qFormat/>
    <w:uiPriority w:val="99"/>
    <w:rPr>
      <w:rFonts w:cs="Times New Roman"/>
      <w:sz w:val="24"/>
      <w:szCs w:val="24"/>
    </w:rPr>
  </w:style>
  <w:style w:type="character" w:customStyle="1" w:styleId="79">
    <w:name w:val="Body Text Indent 2 Char"/>
    <w:autoRedefine/>
    <w:qFormat/>
    <w:locked/>
    <w:uiPriority w:val="99"/>
    <w:rPr>
      <w:rFonts w:cs="Times New Roman"/>
      <w:kern w:val="2"/>
      <w:sz w:val="21"/>
    </w:rPr>
  </w:style>
  <w:style w:type="character" w:customStyle="1" w:styleId="80">
    <w:name w:val="批注框文本 Char"/>
    <w:link w:val="19"/>
    <w:autoRedefine/>
    <w:qFormat/>
    <w:uiPriority w:val="99"/>
    <w:rPr>
      <w:sz w:val="16"/>
      <w:szCs w:val="16"/>
    </w:rPr>
  </w:style>
  <w:style w:type="character" w:customStyle="1" w:styleId="81">
    <w:name w:val="纯文本 Char"/>
    <w:link w:val="17"/>
    <w:autoRedefine/>
    <w:qFormat/>
    <w:locked/>
    <w:uiPriority w:val="99"/>
    <w:rPr>
      <w:rFonts w:ascii="宋体" w:hAnsi="Courier New" w:eastAsiaTheme="minorEastAsia" w:cstheme="minorBidi"/>
      <w:kern w:val="2"/>
      <w:sz w:val="21"/>
    </w:rPr>
  </w:style>
  <w:style w:type="character" w:customStyle="1" w:styleId="82">
    <w:name w:val="正文文本 Char"/>
    <w:link w:val="14"/>
    <w:qFormat/>
    <w:locked/>
    <w:uiPriority w:val="99"/>
    <w:rPr>
      <w:rFonts w:asciiTheme="minorHAnsi" w:hAnsiTheme="minorHAnsi" w:eastAsiaTheme="minorEastAsia" w:cstheme="minorBidi"/>
      <w:kern w:val="2"/>
      <w:sz w:val="21"/>
      <w:szCs w:val="24"/>
    </w:rPr>
  </w:style>
  <w:style w:type="character" w:customStyle="1" w:styleId="83">
    <w:name w:val="批注框文本 字符1"/>
    <w:basedOn w:val="33"/>
    <w:autoRedefine/>
    <w:qFormat/>
    <w:uiPriority w:val="0"/>
    <w:rPr>
      <w:rFonts w:asciiTheme="minorHAnsi" w:hAnsiTheme="minorHAnsi" w:eastAsiaTheme="minorEastAsia" w:cstheme="minorBidi"/>
      <w:kern w:val="2"/>
      <w:sz w:val="18"/>
      <w:szCs w:val="18"/>
    </w:rPr>
  </w:style>
  <w:style w:type="character" w:customStyle="1" w:styleId="84">
    <w:name w:val="正文文本缩进 2 字符1"/>
    <w:basedOn w:val="33"/>
    <w:autoRedefine/>
    <w:qFormat/>
    <w:uiPriority w:val="0"/>
    <w:rPr>
      <w:rFonts w:asciiTheme="minorHAnsi" w:hAnsiTheme="minorHAnsi" w:eastAsiaTheme="minorEastAsia" w:cstheme="minorBidi"/>
      <w:kern w:val="2"/>
      <w:sz w:val="21"/>
      <w:szCs w:val="24"/>
    </w:rPr>
  </w:style>
  <w:style w:type="paragraph" w:customStyle="1" w:styleId="85">
    <w:name w:val="正文文本缩进1"/>
    <w:basedOn w:val="1"/>
    <w:autoRedefine/>
    <w:qFormat/>
    <w:uiPriority w:val="0"/>
    <w:pPr>
      <w:ind w:left="420" w:leftChars="200"/>
    </w:pPr>
    <w:rPr>
      <w:rFonts w:ascii="Times New Roman" w:hAnsi="Times New Roman" w:eastAsia="宋体" w:cs="Times New Roman"/>
      <w:szCs w:val="20"/>
    </w:rPr>
  </w:style>
  <w:style w:type="paragraph" w:customStyle="1" w:styleId="86">
    <w:name w:val="xl35"/>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0"/>
    </w:rPr>
  </w:style>
  <w:style w:type="paragraph" w:customStyle="1" w:styleId="87">
    <w:name w:val="_Style 18"/>
    <w:basedOn w:val="1"/>
    <w:autoRedefine/>
    <w:qFormat/>
    <w:uiPriority w:val="0"/>
    <w:pPr>
      <w:ind w:firstLine="420" w:firstLineChars="200"/>
    </w:pPr>
    <w:rPr>
      <w:rFonts w:ascii="Times New Roman" w:hAnsi="Times New Roman" w:eastAsia="宋体" w:cs="Times New Roman"/>
      <w:szCs w:val="20"/>
    </w:rPr>
  </w:style>
  <w:style w:type="paragraph" w:customStyle="1" w:styleId="88">
    <w:name w:val="Normal Indent1"/>
    <w:basedOn w:val="1"/>
    <w:qFormat/>
    <w:uiPriority w:val="0"/>
    <w:pPr>
      <w:snapToGrid w:val="0"/>
      <w:spacing w:line="312" w:lineRule="atLeast"/>
      <w:ind w:firstLine="420"/>
    </w:pPr>
    <w:rPr>
      <w:rFonts w:ascii="Times New Roman" w:hAnsi="Times New Roman" w:eastAsia="宋体" w:cs="Times New Roman"/>
      <w:szCs w:val="20"/>
    </w:rPr>
  </w:style>
  <w:style w:type="paragraph" w:customStyle="1" w:styleId="89">
    <w:name w:val="TOC 标题1"/>
    <w:basedOn w:val="2"/>
    <w:next w:val="1"/>
    <w:autoRedefine/>
    <w:unhideWhenUsed/>
    <w:qFormat/>
    <w:uiPriority w:val="39"/>
    <w:pPr>
      <w:widowControl/>
      <w:numPr>
        <w:numId w:val="0"/>
      </w:numPr>
      <w:tabs>
        <w:tab w:val="clear" w:pos="0"/>
      </w:tabs>
      <w:spacing w:beforeLines="0" w:afterLines="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90">
    <w:name w:val="批注主题 Char"/>
    <w:basedOn w:val="58"/>
    <w:link w:val="29"/>
    <w:autoRedefine/>
    <w:qFormat/>
    <w:uiPriority w:val="0"/>
    <w:rPr>
      <w:rFonts w:asciiTheme="minorHAnsi" w:hAnsiTheme="minorHAnsi" w:eastAsiaTheme="minorEastAsia" w:cstheme="minorBidi"/>
      <w:b/>
      <w:bCs/>
      <w:kern w:val="2"/>
      <w:sz w:val="21"/>
      <w:szCs w:val="24"/>
    </w:rPr>
  </w:style>
  <w:style w:type="paragraph" w:customStyle="1" w:styleId="91">
    <w:name w:val="p25"/>
    <w:basedOn w:val="1"/>
    <w:autoRedefine/>
    <w:qFormat/>
    <w:uiPriority w:val="0"/>
    <w:pPr>
      <w:widowControl/>
      <w:ind w:firstLine="420"/>
    </w:pPr>
    <w:rPr>
      <w:rFonts w:ascii="宋体" w:hAnsi="宋体" w:cs="宋体"/>
      <w:kern w:val="0"/>
      <w:szCs w:val="21"/>
    </w:rPr>
  </w:style>
  <w:style w:type="paragraph" w:customStyle="1" w:styleId="92">
    <w:name w:val="p23"/>
    <w:basedOn w:val="1"/>
    <w:autoRedefine/>
    <w:qFormat/>
    <w:uiPriority w:val="0"/>
    <w:pPr>
      <w:widowControl/>
      <w:ind w:firstLine="420"/>
    </w:pPr>
    <w:rPr>
      <w:rFonts w:ascii="宋体" w:hAnsi="宋体" w:cs="宋体"/>
      <w:kern w:val="0"/>
      <w:szCs w:val="21"/>
    </w:rPr>
  </w:style>
  <w:style w:type="character" w:customStyle="1" w:styleId="93">
    <w:name w:val="16"/>
    <w:qFormat/>
    <w:uiPriority w:val="0"/>
    <w:rPr>
      <w:rFonts w:hint="default" w:ascii="Times New Roman" w:hAnsi="Times New Roman" w:cs="Times New Roman"/>
      <w:sz w:val="20"/>
      <w:szCs w:val="20"/>
    </w:rPr>
  </w:style>
  <w:style w:type="character" w:customStyle="1" w:styleId="94">
    <w:name w:val="17"/>
    <w:autoRedefine/>
    <w:qFormat/>
    <w:uiPriority w:val="0"/>
    <w:rPr>
      <w:rFonts w:hint="default" w:ascii="Times New Roman" w:hAnsi="Times New Roman" w:cs="Times New Roman"/>
      <w:sz w:val="20"/>
      <w:szCs w:val="20"/>
    </w:rPr>
  </w:style>
  <w:style w:type="paragraph" w:customStyle="1" w:styleId="95">
    <w:name w:val="一标格式"/>
    <w:basedOn w:val="1"/>
    <w:next w:val="1"/>
    <w:qFormat/>
    <w:uiPriority w:val="0"/>
    <w:pPr>
      <w:jc w:val="center"/>
    </w:pPr>
    <w:rPr>
      <w:rFonts w:ascii="Times New Roman" w:hAnsi="Times New Roman" w:eastAsia="宋体" w:cs="Times New Roman"/>
      <w:b/>
      <w:sz w:val="32"/>
    </w:rPr>
  </w:style>
  <w:style w:type="paragraph" w:customStyle="1" w:styleId="96">
    <w:name w:val="p26"/>
    <w:basedOn w:val="1"/>
    <w:qFormat/>
    <w:uiPriority w:val="0"/>
    <w:pPr>
      <w:widowControl/>
      <w:jc w:val="center"/>
    </w:pPr>
    <w:rPr>
      <w:b/>
      <w:bCs/>
      <w:kern w:val="0"/>
      <w:sz w:val="28"/>
      <w:szCs w:val="28"/>
    </w:rPr>
  </w:style>
  <w:style w:type="paragraph" w:customStyle="1" w:styleId="97">
    <w:name w:val="p19"/>
    <w:basedOn w:val="1"/>
    <w:autoRedefine/>
    <w:qFormat/>
    <w:uiPriority w:val="0"/>
    <w:pPr>
      <w:widowControl/>
      <w:jc w:val="center"/>
    </w:pPr>
    <w:rPr>
      <w:b/>
      <w:bCs/>
      <w:kern w:val="0"/>
      <w:sz w:val="28"/>
      <w:szCs w:val="28"/>
    </w:rPr>
  </w:style>
  <w:style w:type="paragraph" w:customStyle="1" w:styleId="98">
    <w:name w:val="p20"/>
    <w:basedOn w:val="1"/>
    <w:autoRedefine/>
    <w:qFormat/>
    <w:uiPriority w:val="0"/>
    <w:pPr>
      <w:widowControl/>
      <w:jc w:val="center"/>
    </w:pPr>
    <w:rPr>
      <w:b/>
      <w:bCs/>
      <w:kern w:val="0"/>
      <w:sz w:val="32"/>
      <w:szCs w:val="32"/>
    </w:rPr>
  </w:style>
  <w:style w:type="paragraph" w:customStyle="1" w:styleId="99">
    <w:name w:val="p22"/>
    <w:basedOn w:val="1"/>
    <w:qFormat/>
    <w:uiPriority w:val="0"/>
    <w:pPr>
      <w:widowControl/>
      <w:spacing w:line="360" w:lineRule="auto"/>
      <w:jc w:val="center"/>
    </w:pPr>
    <w:rPr>
      <w:b/>
      <w:bCs/>
      <w:kern w:val="0"/>
      <w:sz w:val="32"/>
      <w:szCs w:val="32"/>
    </w:rPr>
  </w:style>
  <w:style w:type="paragraph" w:customStyle="1" w:styleId="100">
    <w:name w:val="Table Paragraph"/>
    <w:basedOn w:val="1"/>
    <w:qFormat/>
    <w:uiPriority w:val="1"/>
    <w:rPr>
      <w:rFonts w:ascii="宋体" w:hAnsi="宋体" w:eastAsia="宋体" w:cs="宋体"/>
    </w:rPr>
  </w:style>
  <w:style w:type="character" w:customStyle="1" w:styleId="101">
    <w:name w:val="font12"/>
    <w:basedOn w:val="33"/>
    <w:autoRedefine/>
    <w:qFormat/>
    <w:uiPriority w:val="0"/>
    <w:rPr>
      <w:rFonts w:hint="eastAsia" w:ascii="宋体" w:hAnsi="宋体" w:eastAsia="宋体" w:cs="宋体"/>
      <w:color w:val="000000"/>
      <w:sz w:val="20"/>
      <w:szCs w:val="20"/>
      <w:u w:val="none"/>
    </w:rPr>
  </w:style>
  <w:style w:type="character" w:customStyle="1" w:styleId="102">
    <w:name w:val="font41"/>
    <w:basedOn w:val="3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1532A0-7FE0-45CF-9FFF-2497A0FA8D73}">
  <ds:schemaRefs/>
</ds:datastoreItem>
</file>

<file path=docProps/app.xml><?xml version="1.0" encoding="utf-8"?>
<Properties xmlns="http://schemas.openxmlformats.org/officeDocument/2006/extended-properties" xmlns:vt="http://schemas.openxmlformats.org/officeDocument/2006/docPropsVTypes">
  <Template>Normal.dotm</Template>
  <Pages>43</Pages>
  <Words>8015</Words>
  <Characters>8748</Characters>
  <Lines>149</Lines>
  <Paragraphs>41</Paragraphs>
  <TotalTime>31</TotalTime>
  <ScaleCrop>false</ScaleCrop>
  <LinksUpToDate>false</LinksUpToDate>
  <CharactersWithSpaces>9019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2024-10-14T01:45:00Z</dcterms:created>
  <dc:creator>huajie</dc:creator>
  <cp:lastModifiedBy>桅子花开</cp:lastModifiedBy>
  <cp:lastPrinted>2025-02-08T08:38:00Z</cp:lastPrinted>
  <dcterms:modified xsi:type="dcterms:W3CDTF">2026-04-28T02:35:08Z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7EB297CB3642490D9287B841BCE44A21_13</vt:lpwstr>
  </property>
  <property fmtid="{D5CDD505-2E9C-101B-9397-08002B2CF9AE}" pid="4" name="KSOTemplateDocerSaveRecord">
    <vt:lpwstr>eyJoZGlkIjoiZGRhMzg3NzkzN2UzM2IzMWU4ZGViMzI3ZGEwOTBiZjciLCJ1c2VySWQiOiI2Mjc5NDk0MzkifQ==</vt:lpwstr>
  </property>
</Properties>
</file>