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4.30防撞车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30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13871"/>
      <w:bookmarkStart w:id="4" w:name="_Toc6496_WPSOffice_Level2"/>
      <w:bookmarkStart w:id="5" w:name="_Toc525632585"/>
      <w:bookmarkStart w:id="6" w:name="_Toc10395_WPSOffice_Level2"/>
      <w:bookmarkStart w:id="7" w:name="_Toc12765"/>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4.30防撞车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en-US"/>
        </w:rPr>
        <w:t>用于高速公路道桥面作业</w:t>
      </w:r>
      <w:r>
        <w:rPr>
          <w:rFonts w:hint="eastAsia" w:ascii="Times New Roman" w:hAnsi="Times New Roman" w:cs="Times New Roman"/>
          <w:szCs w:val="22"/>
          <w:u w:val="single"/>
          <w:lang w:eastAsia="zh-CN"/>
        </w:rPr>
        <w:t>安全保障</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525632586"/>
      <w:bookmarkStart w:id="10" w:name="_Toc18367_WPSOffice_Level2"/>
      <w:bookmarkStart w:id="11" w:name="_Toc8128_WPSOffice_Level2"/>
      <w:bookmarkStart w:id="12" w:name="_Toc23266_WPSOffice_Level2"/>
      <w:bookmarkStart w:id="13" w:name="_Toc17858_WPSOffice_Level2"/>
      <w:bookmarkStart w:id="14" w:name="_Toc10274"/>
      <w:bookmarkStart w:id="15" w:name="_Toc18453"/>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购防撞车4台</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szCs w:val="22"/>
          <w:highlight w:val="none"/>
          <w:u w:val="single"/>
          <w:lang w:val="en-US" w:eastAsia="zh-CN"/>
        </w:rPr>
        <w:t>135.6万</w:t>
      </w:r>
      <w:r>
        <w:rPr>
          <w:rFonts w:hint="eastAsia" w:ascii="Times New Roman" w:hAnsi="Times New Roman" w:cs="Times New Roman"/>
          <w:color w:val="auto"/>
          <w:szCs w:val="22"/>
          <w:highlight w:val="none"/>
          <w:u w:val="single"/>
          <w:lang w:val="en-US" w:eastAsia="zh-CN"/>
        </w:rPr>
        <w:t>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22379_WPSOffice_Level2"/>
      <w:bookmarkStart w:id="20" w:name="_Toc31673_WPSOffice_Level2"/>
      <w:bookmarkStart w:id="21" w:name="_Toc525632587"/>
      <w:bookmarkStart w:id="22" w:name="_Toc29516_WPSOffice_Level2"/>
      <w:bookmarkStart w:id="23" w:name="_Toc3714"/>
      <w:bookmarkStart w:id="24" w:name="_Toc6388"/>
      <w:bookmarkStart w:id="25" w:name="_Toc1622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452_WPSOffice_Level2"/>
      <w:bookmarkStart w:id="27" w:name="_Toc4751"/>
      <w:bookmarkStart w:id="28" w:name="_Toc525632588"/>
      <w:bookmarkStart w:id="29" w:name="_Toc4109_WPSOffice_Level2"/>
      <w:bookmarkStart w:id="30" w:name="_Toc1994"/>
      <w:bookmarkStart w:id="31" w:name="_Toc2996_WPSOffice_Level2"/>
      <w:bookmarkStart w:id="32" w:name="_Toc2566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12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5</w:t>
      </w:r>
      <w:r>
        <w:rPr>
          <w:rFonts w:hint="eastAsia" w:ascii="Times New Roman" w:hAnsi="Times New Roman"/>
          <w:highlight w:val="none"/>
        </w:rPr>
        <w:t>月</w:t>
      </w:r>
      <w:r>
        <w:rPr>
          <w:rFonts w:hint="eastAsia" w:ascii="Times New Roman" w:hAnsi="Times New Roman"/>
          <w:highlight w:val="none"/>
          <w:lang w:val="en-US" w:eastAsia="zh-CN"/>
        </w:rPr>
        <w:t>11</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8501"/>
      <w:bookmarkStart w:id="39" w:name="_Toc321_WPSOffice_Level2"/>
      <w:bookmarkStart w:id="40" w:name="_Toc28571_WPSOffice_Level2"/>
      <w:bookmarkStart w:id="41" w:name="_Toc525632592"/>
      <w:bookmarkStart w:id="42" w:name="_Toc14943_WPSOffice_Level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30</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9067725"/>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tbl>
      <w:tblPr>
        <w:tblStyle w:val="14"/>
        <w:tblpPr w:leftFromText="180" w:rightFromText="180" w:vertAnchor="text" w:tblpXSpec="left" w:tblpY="1"/>
        <w:tblOverlap w:val="never"/>
        <w:tblW w:w="4999" w:type="pct"/>
        <w:tblInd w:w="0" w:type="dxa"/>
        <w:tblLayout w:type="autofit"/>
        <w:tblCellMar>
          <w:top w:w="0" w:type="dxa"/>
          <w:left w:w="0" w:type="dxa"/>
          <w:bottom w:w="0" w:type="dxa"/>
          <w:right w:w="0" w:type="dxa"/>
        </w:tblCellMar>
      </w:tblPr>
      <w:tblGrid>
        <w:gridCol w:w="2588"/>
        <w:gridCol w:w="5726"/>
      </w:tblGrid>
      <w:tr w14:paraId="57DD533D">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5590E59B">
            <w:pPr>
              <w:jc w:val="both"/>
              <w:rPr>
                <w:rFonts w:hint="eastAsia" w:ascii="宋体" w:hAnsi="宋体" w:eastAsia="宋体" w:cs="宋体"/>
                <w:sz w:val="21"/>
                <w:szCs w:val="21"/>
              </w:rPr>
            </w:pPr>
            <w:r>
              <w:rPr>
                <w:rFonts w:hint="eastAsia" w:ascii="宋体" w:hAnsi="宋体" w:eastAsia="宋体" w:cs="宋体"/>
                <w:sz w:val="21"/>
                <w:szCs w:val="21"/>
              </w:rPr>
              <w:t>一</w:t>
            </w:r>
          </w:p>
        </w:tc>
        <w:tc>
          <w:tcPr>
            <w:tcW w:w="3443" w:type="pct"/>
            <w:tcBorders>
              <w:top w:val="single" w:color="auto" w:sz="4" w:space="0"/>
              <w:left w:val="nil"/>
              <w:bottom w:val="single" w:color="auto" w:sz="4" w:space="0"/>
              <w:right w:val="single" w:color="auto" w:sz="4" w:space="0"/>
            </w:tcBorders>
            <w:vAlign w:val="center"/>
          </w:tcPr>
          <w:p w14:paraId="32C55868">
            <w:pPr>
              <w:jc w:val="both"/>
              <w:rPr>
                <w:rFonts w:hint="eastAsia" w:ascii="宋体" w:hAnsi="宋体" w:eastAsia="宋体" w:cs="宋体"/>
                <w:sz w:val="21"/>
                <w:szCs w:val="21"/>
              </w:rPr>
            </w:pPr>
            <w:r>
              <w:rPr>
                <w:rFonts w:hint="eastAsia" w:ascii="宋体" w:hAnsi="宋体" w:eastAsia="宋体" w:cs="宋体"/>
                <w:sz w:val="21"/>
                <w:szCs w:val="21"/>
              </w:rPr>
              <w:t>防撞缓冲车技术参数要求</w:t>
            </w:r>
          </w:p>
        </w:tc>
      </w:tr>
      <w:tr w14:paraId="616C428D">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60CF339C">
            <w:pPr>
              <w:jc w:val="both"/>
              <w:rPr>
                <w:rFonts w:hint="eastAsia" w:ascii="宋体" w:hAnsi="宋体" w:eastAsia="宋体" w:cs="宋体"/>
                <w:sz w:val="21"/>
                <w:szCs w:val="21"/>
              </w:rPr>
            </w:pPr>
            <w:r>
              <w:rPr>
                <w:rFonts w:hint="eastAsia" w:ascii="宋体" w:hAnsi="宋体" w:eastAsia="宋体" w:cs="宋体"/>
                <w:sz w:val="21"/>
                <w:szCs w:val="21"/>
              </w:rPr>
              <w:t>技术参数名称</w:t>
            </w:r>
          </w:p>
        </w:tc>
        <w:tc>
          <w:tcPr>
            <w:tcW w:w="3443" w:type="pct"/>
            <w:tcBorders>
              <w:top w:val="single" w:color="auto" w:sz="4" w:space="0"/>
              <w:left w:val="nil"/>
              <w:bottom w:val="single" w:color="auto" w:sz="4" w:space="0"/>
              <w:right w:val="single" w:color="auto" w:sz="4" w:space="0"/>
            </w:tcBorders>
            <w:vAlign w:val="center"/>
          </w:tcPr>
          <w:p w14:paraId="07FBC975">
            <w:pPr>
              <w:jc w:val="both"/>
              <w:rPr>
                <w:rFonts w:hint="eastAsia" w:ascii="宋体" w:hAnsi="宋体" w:eastAsia="宋体" w:cs="宋体"/>
                <w:sz w:val="21"/>
                <w:szCs w:val="21"/>
              </w:rPr>
            </w:pPr>
            <w:r>
              <w:rPr>
                <w:rFonts w:hint="eastAsia" w:ascii="宋体" w:hAnsi="宋体" w:eastAsia="宋体" w:cs="宋体"/>
                <w:sz w:val="21"/>
                <w:szCs w:val="21"/>
              </w:rPr>
              <w:t>技术参数指标</w:t>
            </w:r>
          </w:p>
        </w:tc>
      </w:tr>
      <w:tr w14:paraId="68322CC2">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11420C25">
            <w:pPr>
              <w:jc w:val="both"/>
              <w:rPr>
                <w:rFonts w:hint="eastAsia" w:ascii="宋体" w:hAnsi="宋体" w:eastAsia="宋体" w:cs="宋体"/>
                <w:sz w:val="21"/>
                <w:szCs w:val="21"/>
              </w:rPr>
            </w:pPr>
            <w:r>
              <w:rPr>
                <w:rFonts w:hint="eastAsia" w:ascii="宋体" w:hAnsi="宋体" w:eastAsia="宋体" w:cs="宋体"/>
                <w:sz w:val="21"/>
                <w:szCs w:val="21"/>
              </w:rPr>
              <w:t>整车</w:t>
            </w:r>
          </w:p>
        </w:tc>
        <w:tc>
          <w:tcPr>
            <w:tcW w:w="3443" w:type="pct"/>
            <w:tcBorders>
              <w:top w:val="single" w:color="auto" w:sz="4" w:space="0"/>
              <w:left w:val="nil"/>
              <w:bottom w:val="single" w:color="auto" w:sz="4" w:space="0"/>
              <w:right w:val="single" w:color="auto" w:sz="4" w:space="0"/>
            </w:tcBorders>
            <w:vAlign w:val="center"/>
          </w:tcPr>
          <w:p w14:paraId="2DD890A7">
            <w:pPr>
              <w:jc w:val="both"/>
              <w:rPr>
                <w:rFonts w:hint="eastAsia" w:ascii="宋体" w:hAnsi="宋体" w:eastAsia="宋体" w:cs="宋体"/>
                <w:sz w:val="21"/>
                <w:szCs w:val="21"/>
              </w:rPr>
            </w:pPr>
            <w:r>
              <w:rPr>
                <w:rFonts w:hint="eastAsia" w:ascii="宋体" w:hAnsi="宋体" w:eastAsia="宋体" w:cs="宋体"/>
                <w:sz w:val="21"/>
                <w:szCs w:val="21"/>
              </w:rPr>
              <w:t>车辆符合国家《机动车运行安全技术条件》，产品为国家发改委或工业和信息化部《车辆生产企业及产品公告》产品。产品具有3C认证。车辆颜色为工程黄色。</w:t>
            </w:r>
          </w:p>
        </w:tc>
      </w:tr>
      <w:tr w14:paraId="18A82662">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67EC035D">
            <w:pPr>
              <w:jc w:val="both"/>
              <w:rPr>
                <w:rFonts w:hint="eastAsia" w:ascii="宋体" w:hAnsi="宋体" w:eastAsia="宋体" w:cs="宋体"/>
                <w:sz w:val="21"/>
                <w:szCs w:val="21"/>
              </w:rPr>
            </w:pPr>
            <w:r>
              <w:rPr>
                <w:rFonts w:hint="eastAsia" w:ascii="宋体" w:hAnsi="宋体" w:eastAsia="宋体" w:cs="宋体"/>
                <w:sz w:val="21"/>
                <w:szCs w:val="21"/>
              </w:rPr>
              <w:t>*底盘</w:t>
            </w:r>
          </w:p>
        </w:tc>
        <w:tc>
          <w:tcPr>
            <w:tcW w:w="3443" w:type="pct"/>
            <w:tcBorders>
              <w:top w:val="single" w:color="auto" w:sz="4" w:space="0"/>
              <w:left w:val="nil"/>
              <w:bottom w:val="single" w:color="auto" w:sz="4" w:space="0"/>
              <w:right w:val="single" w:color="auto" w:sz="4" w:space="0"/>
            </w:tcBorders>
            <w:vAlign w:val="center"/>
          </w:tcPr>
          <w:p w14:paraId="6449EE69">
            <w:pPr>
              <w:jc w:val="both"/>
              <w:rPr>
                <w:rFonts w:hint="eastAsia" w:ascii="宋体" w:hAnsi="宋体" w:eastAsia="宋体" w:cs="宋体"/>
                <w:sz w:val="21"/>
                <w:szCs w:val="21"/>
              </w:rPr>
            </w:pPr>
            <w:r>
              <w:rPr>
                <w:rFonts w:hint="eastAsia" w:ascii="宋体" w:hAnsi="宋体" w:eastAsia="宋体" w:cs="宋体"/>
                <w:sz w:val="21"/>
                <w:szCs w:val="21"/>
              </w:rPr>
              <w:t>采用江淮、东风或同档次及以上底盘。</w:t>
            </w:r>
          </w:p>
          <w:p w14:paraId="034C1401">
            <w:pPr>
              <w:jc w:val="both"/>
              <w:rPr>
                <w:rFonts w:hint="eastAsia" w:ascii="宋体" w:hAnsi="宋体" w:eastAsia="宋体" w:cs="宋体"/>
                <w:sz w:val="21"/>
                <w:szCs w:val="21"/>
              </w:rPr>
            </w:pPr>
            <w:r>
              <w:rPr>
                <w:rFonts w:hint="eastAsia" w:ascii="宋体" w:hAnsi="宋体" w:eastAsia="宋体" w:cs="宋体"/>
                <w:sz w:val="21"/>
                <w:szCs w:val="21"/>
              </w:rPr>
              <w:t>应采用排半驾驶室、配有冷暖空调、多功能方向盘、ABS刹车。</w:t>
            </w:r>
          </w:p>
        </w:tc>
      </w:tr>
      <w:tr w14:paraId="5068F836">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05D5440A">
            <w:pPr>
              <w:jc w:val="both"/>
              <w:rPr>
                <w:rFonts w:hint="eastAsia" w:ascii="宋体" w:hAnsi="宋体" w:eastAsia="宋体" w:cs="宋体"/>
                <w:sz w:val="21"/>
                <w:szCs w:val="21"/>
              </w:rPr>
            </w:pPr>
            <w:r>
              <w:rPr>
                <w:rFonts w:hint="eastAsia" w:ascii="宋体" w:hAnsi="宋体" w:eastAsia="宋体" w:cs="宋体"/>
                <w:sz w:val="21"/>
                <w:szCs w:val="21"/>
              </w:rPr>
              <w:t>发动机排量</w:t>
            </w:r>
          </w:p>
        </w:tc>
        <w:tc>
          <w:tcPr>
            <w:tcW w:w="3443" w:type="pct"/>
            <w:tcBorders>
              <w:top w:val="single" w:color="auto" w:sz="4" w:space="0"/>
              <w:left w:val="nil"/>
              <w:bottom w:val="single" w:color="auto" w:sz="4" w:space="0"/>
              <w:right w:val="single" w:color="auto" w:sz="4" w:space="0"/>
            </w:tcBorders>
            <w:vAlign w:val="center"/>
          </w:tcPr>
          <w:p w14:paraId="619FF438">
            <w:pPr>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rPr>
              <w:t>2.5</w:t>
            </w:r>
            <w:r>
              <w:rPr>
                <w:rFonts w:hint="eastAsia" w:ascii="宋体" w:hAnsi="宋体" w:eastAsia="宋体" w:cs="宋体"/>
                <w:sz w:val="21"/>
                <w:szCs w:val="21"/>
              </w:rPr>
              <w:t>L</w:t>
            </w:r>
          </w:p>
        </w:tc>
      </w:tr>
      <w:tr w14:paraId="434F7A22">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660710B9">
            <w:pPr>
              <w:jc w:val="both"/>
              <w:rPr>
                <w:rFonts w:hint="eastAsia" w:ascii="宋体" w:hAnsi="宋体" w:eastAsia="宋体" w:cs="宋体"/>
                <w:sz w:val="21"/>
                <w:szCs w:val="21"/>
              </w:rPr>
            </w:pPr>
            <w:r>
              <w:rPr>
                <w:rFonts w:hint="eastAsia" w:ascii="宋体" w:hAnsi="宋体" w:eastAsia="宋体" w:cs="宋体"/>
                <w:sz w:val="21"/>
                <w:szCs w:val="21"/>
              </w:rPr>
              <w:t>*发动机功率</w:t>
            </w:r>
          </w:p>
        </w:tc>
        <w:tc>
          <w:tcPr>
            <w:tcW w:w="3443" w:type="pct"/>
            <w:tcBorders>
              <w:top w:val="single" w:color="auto" w:sz="4" w:space="0"/>
              <w:left w:val="nil"/>
              <w:bottom w:val="single" w:color="auto" w:sz="4" w:space="0"/>
              <w:right w:val="single" w:color="auto" w:sz="4" w:space="0"/>
            </w:tcBorders>
            <w:vAlign w:val="center"/>
          </w:tcPr>
          <w:p w14:paraId="381972A2">
            <w:pPr>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rPr>
              <w:t>20</w:t>
            </w:r>
            <w:r>
              <w:rPr>
                <w:rFonts w:hint="eastAsia" w:ascii="宋体" w:hAnsi="宋体" w:eastAsia="宋体" w:cs="宋体"/>
                <w:sz w:val="21"/>
                <w:szCs w:val="21"/>
              </w:rPr>
              <w:t>kW</w:t>
            </w:r>
          </w:p>
        </w:tc>
      </w:tr>
      <w:tr w14:paraId="0E16FC40">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5B0D368D">
            <w:pPr>
              <w:jc w:val="both"/>
              <w:rPr>
                <w:rFonts w:hint="eastAsia" w:ascii="宋体" w:hAnsi="宋体" w:eastAsia="宋体" w:cs="宋体"/>
                <w:sz w:val="21"/>
                <w:szCs w:val="21"/>
              </w:rPr>
            </w:pPr>
            <w:r>
              <w:rPr>
                <w:rFonts w:hint="eastAsia" w:ascii="宋体" w:hAnsi="宋体" w:eastAsia="宋体" w:cs="宋体"/>
                <w:sz w:val="21"/>
                <w:szCs w:val="21"/>
              </w:rPr>
              <w:t>燃油类型</w:t>
            </w:r>
          </w:p>
        </w:tc>
        <w:tc>
          <w:tcPr>
            <w:tcW w:w="3443" w:type="pct"/>
            <w:tcBorders>
              <w:top w:val="single" w:color="auto" w:sz="4" w:space="0"/>
              <w:left w:val="nil"/>
              <w:bottom w:val="single" w:color="auto" w:sz="4" w:space="0"/>
              <w:right w:val="single" w:color="auto" w:sz="4" w:space="0"/>
            </w:tcBorders>
            <w:vAlign w:val="center"/>
          </w:tcPr>
          <w:p w14:paraId="24F2B503">
            <w:pPr>
              <w:jc w:val="both"/>
              <w:rPr>
                <w:rFonts w:hint="eastAsia" w:ascii="宋体" w:hAnsi="宋体" w:eastAsia="宋体" w:cs="宋体"/>
                <w:sz w:val="21"/>
                <w:szCs w:val="21"/>
              </w:rPr>
            </w:pPr>
            <w:r>
              <w:rPr>
                <w:rFonts w:hint="eastAsia" w:ascii="宋体" w:hAnsi="宋体" w:eastAsia="宋体" w:cs="宋体"/>
                <w:sz w:val="21"/>
                <w:szCs w:val="21"/>
              </w:rPr>
              <w:t>柴油</w:t>
            </w:r>
          </w:p>
        </w:tc>
      </w:tr>
      <w:tr w14:paraId="38528166">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22D7D3A8">
            <w:pPr>
              <w:jc w:val="both"/>
              <w:rPr>
                <w:rFonts w:hint="eastAsia" w:ascii="宋体" w:hAnsi="宋体" w:eastAsia="宋体" w:cs="宋体"/>
                <w:sz w:val="21"/>
                <w:szCs w:val="21"/>
              </w:rPr>
            </w:pPr>
            <w:r>
              <w:rPr>
                <w:rFonts w:hint="eastAsia" w:ascii="宋体" w:hAnsi="宋体" w:eastAsia="宋体" w:cs="宋体"/>
                <w:sz w:val="21"/>
                <w:szCs w:val="21"/>
              </w:rPr>
              <w:t>最高车速</w:t>
            </w:r>
          </w:p>
        </w:tc>
        <w:tc>
          <w:tcPr>
            <w:tcW w:w="3443" w:type="pct"/>
            <w:tcBorders>
              <w:top w:val="single" w:color="auto" w:sz="4" w:space="0"/>
              <w:left w:val="nil"/>
              <w:bottom w:val="single" w:color="auto" w:sz="4" w:space="0"/>
              <w:right w:val="single" w:color="auto" w:sz="4" w:space="0"/>
            </w:tcBorders>
            <w:vAlign w:val="center"/>
          </w:tcPr>
          <w:p w14:paraId="4CDF948B">
            <w:pPr>
              <w:jc w:val="both"/>
              <w:rPr>
                <w:rFonts w:hint="eastAsia" w:ascii="宋体" w:hAnsi="宋体" w:eastAsia="宋体" w:cs="宋体"/>
                <w:sz w:val="21"/>
                <w:szCs w:val="21"/>
              </w:rPr>
            </w:pPr>
            <w:r>
              <w:rPr>
                <w:rFonts w:hint="eastAsia" w:ascii="宋体" w:hAnsi="宋体" w:eastAsia="宋体" w:cs="宋体"/>
                <w:sz w:val="21"/>
                <w:szCs w:val="21"/>
              </w:rPr>
              <w:t>≥105km/h</w:t>
            </w:r>
          </w:p>
        </w:tc>
      </w:tr>
      <w:tr w14:paraId="34E9A009">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503AE4EB">
            <w:pPr>
              <w:jc w:val="both"/>
              <w:rPr>
                <w:rFonts w:hint="eastAsia" w:ascii="宋体" w:hAnsi="宋体" w:eastAsia="宋体" w:cs="宋体"/>
                <w:sz w:val="21"/>
                <w:szCs w:val="21"/>
              </w:rPr>
            </w:pPr>
            <w:r>
              <w:rPr>
                <w:rFonts w:hint="eastAsia" w:ascii="宋体" w:hAnsi="宋体" w:eastAsia="宋体" w:cs="宋体"/>
                <w:sz w:val="21"/>
                <w:szCs w:val="21"/>
              </w:rPr>
              <w:t>*总质量</w:t>
            </w:r>
          </w:p>
        </w:tc>
        <w:tc>
          <w:tcPr>
            <w:tcW w:w="3443" w:type="pct"/>
            <w:tcBorders>
              <w:top w:val="single" w:color="auto" w:sz="4" w:space="0"/>
              <w:left w:val="nil"/>
              <w:bottom w:val="single" w:color="auto" w:sz="4" w:space="0"/>
              <w:right w:val="single" w:color="auto" w:sz="4" w:space="0"/>
            </w:tcBorders>
            <w:vAlign w:val="center"/>
          </w:tcPr>
          <w:p w14:paraId="7E6CF46B">
            <w:pPr>
              <w:jc w:val="both"/>
              <w:rPr>
                <w:rFonts w:hint="eastAsia" w:ascii="宋体" w:hAnsi="宋体" w:eastAsia="宋体" w:cs="宋体"/>
                <w:sz w:val="21"/>
                <w:szCs w:val="21"/>
              </w:rPr>
            </w:pPr>
            <w:r>
              <w:rPr>
                <w:rFonts w:hint="eastAsia" w:ascii="宋体" w:hAnsi="宋体" w:eastAsia="宋体" w:cs="宋体"/>
                <w:sz w:val="21"/>
                <w:szCs w:val="21"/>
              </w:rPr>
              <w:t>≥12400kg</w:t>
            </w:r>
          </w:p>
        </w:tc>
      </w:tr>
      <w:tr w14:paraId="29055B96">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01AD5A28">
            <w:pPr>
              <w:jc w:val="both"/>
              <w:rPr>
                <w:rFonts w:hint="eastAsia" w:ascii="宋体" w:hAnsi="宋体" w:eastAsia="宋体" w:cs="宋体"/>
                <w:sz w:val="21"/>
                <w:szCs w:val="21"/>
              </w:rPr>
            </w:pPr>
            <w:r>
              <w:rPr>
                <w:rFonts w:hint="eastAsia" w:ascii="宋体" w:hAnsi="宋体" w:eastAsia="宋体" w:cs="宋体"/>
                <w:sz w:val="21"/>
                <w:szCs w:val="21"/>
              </w:rPr>
              <w:t>*整备质量</w:t>
            </w:r>
          </w:p>
        </w:tc>
        <w:tc>
          <w:tcPr>
            <w:tcW w:w="3443" w:type="pct"/>
            <w:tcBorders>
              <w:top w:val="single" w:color="auto" w:sz="4" w:space="0"/>
              <w:left w:val="nil"/>
              <w:bottom w:val="single" w:color="auto" w:sz="4" w:space="0"/>
              <w:right w:val="single" w:color="auto" w:sz="4" w:space="0"/>
            </w:tcBorders>
            <w:vAlign w:val="center"/>
          </w:tcPr>
          <w:p w14:paraId="72685EAF">
            <w:pPr>
              <w:jc w:val="both"/>
              <w:rPr>
                <w:rFonts w:hint="eastAsia" w:ascii="宋体" w:hAnsi="宋体" w:eastAsia="宋体" w:cs="宋体"/>
                <w:sz w:val="21"/>
                <w:szCs w:val="21"/>
              </w:rPr>
            </w:pPr>
            <w:r>
              <w:rPr>
                <w:rFonts w:hint="eastAsia" w:ascii="宋体" w:hAnsi="宋体" w:eastAsia="宋体" w:cs="宋体"/>
                <w:sz w:val="21"/>
                <w:szCs w:val="21"/>
              </w:rPr>
              <w:t>≥12000kg</w:t>
            </w:r>
          </w:p>
        </w:tc>
      </w:tr>
      <w:tr w14:paraId="20E00391">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4D974536">
            <w:pPr>
              <w:jc w:val="both"/>
              <w:rPr>
                <w:rFonts w:hint="eastAsia" w:ascii="宋体" w:hAnsi="宋体" w:eastAsia="宋体" w:cs="宋体"/>
                <w:sz w:val="21"/>
                <w:szCs w:val="21"/>
              </w:rPr>
            </w:pPr>
            <w:r>
              <w:rPr>
                <w:rFonts w:hint="eastAsia" w:ascii="宋体" w:hAnsi="宋体" w:eastAsia="宋体" w:cs="宋体"/>
                <w:sz w:val="21"/>
                <w:szCs w:val="21"/>
              </w:rPr>
              <w:t>轴距</w:t>
            </w:r>
          </w:p>
        </w:tc>
        <w:tc>
          <w:tcPr>
            <w:tcW w:w="3443" w:type="pct"/>
            <w:tcBorders>
              <w:top w:val="single" w:color="auto" w:sz="4" w:space="0"/>
              <w:left w:val="nil"/>
              <w:bottom w:val="single" w:color="auto" w:sz="4" w:space="0"/>
              <w:right w:val="single" w:color="auto" w:sz="4" w:space="0"/>
            </w:tcBorders>
            <w:vAlign w:val="center"/>
          </w:tcPr>
          <w:p w14:paraId="3F46F98A">
            <w:pPr>
              <w:jc w:val="both"/>
              <w:rPr>
                <w:rFonts w:hint="eastAsia" w:ascii="宋体" w:hAnsi="宋体" w:eastAsia="宋体" w:cs="宋体"/>
                <w:sz w:val="21"/>
                <w:szCs w:val="21"/>
              </w:rPr>
            </w:pPr>
            <w:r>
              <w:rPr>
                <w:rFonts w:hint="eastAsia" w:ascii="宋体" w:hAnsi="宋体" w:eastAsia="宋体" w:cs="宋体"/>
                <w:sz w:val="21"/>
                <w:szCs w:val="21"/>
              </w:rPr>
              <w:t>≥3900mm</w:t>
            </w:r>
          </w:p>
        </w:tc>
      </w:tr>
      <w:tr w14:paraId="47A6464F">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4CF5A2BF">
            <w:pPr>
              <w:jc w:val="both"/>
              <w:rPr>
                <w:rFonts w:hint="eastAsia" w:ascii="宋体" w:hAnsi="宋体" w:eastAsia="宋体" w:cs="宋体"/>
                <w:sz w:val="21"/>
                <w:szCs w:val="21"/>
              </w:rPr>
            </w:pPr>
            <w:r>
              <w:rPr>
                <w:rFonts w:hint="eastAsia" w:ascii="宋体" w:hAnsi="宋体" w:eastAsia="宋体" w:cs="宋体"/>
                <w:sz w:val="21"/>
                <w:szCs w:val="21"/>
              </w:rPr>
              <w:t>*外形尺寸</w:t>
            </w:r>
          </w:p>
        </w:tc>
        <w:tc>
          <w:tcPr>
            <w:tcW w:w="3443" w:type="pct"/>
            <w:tcBorders>
              <w:top w:val="single" w:color="auto" w:sz="4" w:space="0"/>
              <w:left w:val="nil"/>
              <w:bottom w:val="single" w:color="auto" w:sz="4" w:space="0"/>
              <w:right w:val="single" w:color="auto" w:sz="4" w:space="0"/>
            </w:tcBorders>
            <w:vAlign w:val="center"/>
          </w:tcPr>
          <w:p w14:paraId="067167C3">
            <w:pPr>
              <w:jc w:val="both"/>
              <w:rPr>
                <w:rFonts w:hint="eastAsia" w:ascii="宋体" w:hAnsi="宋体" w:eastAsia="宋体" w:cs="宋体"/>
                <w:sz w:val="21"/>
                <w:szCs w:val="21"/>
              </w:rPr>
            </w:pPr>
            <w:r>
              <w:rPr>
                <w:rFonts w:hint="eastAsia" w:ascii="宋体" w:hAnsi="宋体" w:eastAsia="宋体" w:cs="宋体"/>
                <w:sz w:val="21"/>
                <w:szCs w:val="21"/>
              </w:rPr>
              <w:t>≤7500*2550*3200mm</w:t>
            </w:r>
          </w:p>
        </w:tc>
      </w:tr>
      <w:tr w14:paraId="07BC1A28">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50E40D74">
            <w:pPr>
              <w:jc w:val="both"/>
              <w:rPr>
                <w:rFonts w:hint="eastAsia" w:ascii="宋体" w:hAnsi="宋体" w:eastAsia="宋体" w:cs="宋体"/>
                <w:sz w:val="21"/>
                <w:szCs w:val="21"/>
              </w:rPr>
            </w:pPr>
            <w:r>
              <w:rPr>
                <w:rFonts w:hint="eastAsia" w:ascii="宋体" w:hAnsi="宋体" w:eastAsia="宋体" w:cs="宋体"/>
                <w:sz w:val="21"/>
                <w:szCs w:val="21"/>
              </w:rPr>
              <w:t>*预警安全引导装置</w:t>
            </w:r>
          </w:p>
        </w:tc>
        <w:tc>
          <w:tcPr>
            <w:tcW w:w="3443" w:type="pct"/>
            <w:tcBorders>
              <w:top w:val="single" w:color="auto" w:sz="4" w:space="0"/>
              <w:left w:val="nil"/>
              <w:bottom w:val="single" w:color="auto" w:sz="4" w:space="0"/>
              <w:right w:val="single" w:color="auto" w:sz="4" w:space="0"/>
            </w:tcBorders>
            <w:vAlign w:val="center"/>
          </w:tcPr>
          <w:p w14:paraId="57E5034A">
            <w:pPr>
              <w:jc w:val="both"/>
              <w:rPr>
                <w:rFonts w:hint="eastAsia" w:ascii="宋体" w:hAnsi="宋体" w:eastAsia="宋体" w:cs="宋体"/>
                <w:sz w:val="21"/>
                <w:szCs w:val="21"/>
              </w:rPr>
            </w:pPr>
            <w:r>
              <w:rPr>
                <w:rFonts w:hint="eastAsia" w:ascii="宋体" w:hAnsi="宋体" w:eastAsia="宋体" w:cs="宋体"/>
                <w:sz w:val="21"/>
                <w:szCs w:val="21"/>
              </w:rPr>
              <w:t>高亮LED显示屏+300W长条警灯</w:t>
            </w:r>
          </w:p>
        </w:tc>
      </w:tr>
      <w:tr w14:paraId="17B1FC19">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56443610">
            <w:pPr>
              <w:jc w:val="both"/>
              <w:rPr>
                <w:rFonts w:hint="eastAsia" w:ascii="宋体" w:hAnsi="宋体" w:eastAsia="宋体" w:cs="宋体"/>
                <w:sz w:val="21"/>
                <w:szCs w:val="21"/>
              </w:rPr>
            </w:pPr>
            <w:r>
              <w:rPr>
                <w:rFonts w:hint="eastAsia" w:ascii="宋体" w:hAnsi="宋体" w:eastAsia="宋体" w:cs="宋体"/>
                <w:sz w:val="21"/>
                <w:szCs w:val="21"/>
              </w:rPr>
              <w:t>*照明装备</w:t>
            </w:r>
          </w:p>
        </w:tc>
        <w:tc>
          <w:tcPr>
            <w:tcW w:w="3443" w:type="pct"/>
            <w:tcBorders>
              <w:top w:val="single" w:color="auto" w:sz="4" w:space="0"/>
              <w:left w:val="nil"/>
              <w:bottom w:val="single" w:color="auto" w:sz="4" w:space="0"/>
              <w:right w:val="single" w:color="auto" w:sz="4" w:space="0"/>
            </w:tcBorders>
            <w:vAlign w:val="center"/>
          </w:tcPr>
          <w:p w14:paraId="11DAF33C">
            <w:pPr>
              <w:jc w:val="both"/>
              <w:rPr>
                <w:rFonts w:hint="eastAsia" w:ascii="宋体" w:hAnsi="宋体" w:eastAsia="宋体" w:cs="宋体"/>
                <w:sz w:val="21"/>
                <w:szCs w:val="21"/>
              </w:rPr>
            </w:pPr>
            <w:r>
              <w:rPr>
                <w:rFonts w:hint="eastAsia" w:ascii="宋体" w:hAnsi="宋体" w:eastAsia="宋体" w:cs="宋体"/>
                <w:sz w:val="21"/>
                <w:szCs w:val="21"/>
              </w:rPr>
              <w:t>配备高杆照明灯</w:t>
            </w:r>
          </w:p>
        </w:tc>
      </w:tr>
      <w:tr w14:paraId="6883BF4E">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22210082">
            <w:pPr>
              <w:jc w:val="both"/>
              <w:rPr>
                <w:rFonts w:hint="eastAsia" w:ascii="宋体" w:hAnsi="宋体" w:eastAsia="宋体" w:cs="宋体"/>
                <w:sz w:val="21"/>
                <w:szCs w:val="21"/>
              </w:rPr>
            </w:pPr>
            <w:r>
              <w:rPr>
                <w:rFonts w:hint="eastAsia" w:ascii="宋体" w:hAnsi="宋体" w:eastAsia="宋体" w:cs="宋体"/>
                <w:sz w:val="21"/>
                <w:szCs w:val="21"/>
              </w:rPr>
              <w:t>*防撞缓冲垫外形尺寸</w:t>
            </w:r>
          </w:p>
        </w:tc>
        <w:tc>
          <w:tcPr>
            <w:tcW w:w="3443" w:type="pct"/>
            <w:tcBorders>
              <w:top w:val="single" w:color="auto" w:sz="4" w:space="0"/>
              <w:left w:val="nil"/>
              <w:bottom w:val="single" w:color="auto" w:sz="4" w:space="0"/>
              <w:right w:val="single" w:color="auto" w:sz="4" w:space="0"/>
            </w:tcBorders>
            <w:vAlign w:val="center"/>
          </w:tcPr>
          <w:p w14:paraId="671D4242">
            <w:pPr>
              <w:jc w:val="both"/>
              <w:rPr>
                <w:rFonts w:hint="eastAsia" w:ascii="宋体" w:hAnsi="宋体" w:eastAsia="宋体" w:cs="宋体"/>
                <w:sz w:val="21"/>
                <w:szCs w:val="21"/>
              </w:rPr>
            </w:pPr>
            <w:r>
              <w:rPr>
                <w:rFonts w:hint="eastAsia" w:ascii="宋体" w:hAnsi="宋体" w:eastAsia="宋体" w:cs="宋体"/>
                <w:sz w:val="21"/>
                <w:szCs w:val="21"/>
              </w:rPr>
              <w:t xml:space="preserve"> ≥3100*2300*650mm  （不含安装结构）</w:t>
            </w:r>
          </w:p>
        </w:tc>
      </w:tr>
      <w:tr w14:paraId="06EC7AA7">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214F11AB">
            <w:pPr>
              <w:jc w:val="both"/>
              <w:rPr>
                <w:rFonts w:hint="eastAsia" w:ascii="宋体" w:hAnsi="宋体" w:eastAsia="宋体" w:cs="宋体"/>
                <w:sz w:val="21"/>
                <w:szCs w:val="21"/>
              </w:rPr>
            </w:pPr>
            <w:r>
              <w:rPr>
                <w:rFonts w:hint="eastAsia" w:ascii="宋体" w:hAnsi="宋体" w:eastAsia="宋体" w:cs="宋体"/>
                <w:sz w:val="21"/>
                <w:szCs w:val="21"/>
              </w:rPr>
              <w:t>*碰撞报告要求</w:t>
            </w:r>
          </w:p>
        </w:tc>
        <w:tc>
          <w:tcPr>
            <w:tcW w:w="3443" w:type="pct"/>
            <w:tcBorders>
              <w:top w:val="single" w:color="auto" w:sz="4" w:space="0"/>
              <w:left w:val="nil"/>
              <w:bottom w:val="single" w:color="auto" w:sz="4" w:space="0"/>
              <w:right w:val="single" w:color="auto" w:sz="4" w:space="0"/>
            </w:tcBorders>
            <w:vAlign w:val="center"/>
          </w:tcPr>
          <w:p w14:paraId="71658A09">
            <w:pPr>
              <w:jc w:val="both"/>
              <w:rPr>
                <w:rFonts w:hint="eastAsia" w:ascii="宋体" w:hAnsi="宋体" w:eastAsia="宋体" w:cs="宋体"/>
                <w:sz w:val="21"/>
                <w:szCs w:val="21"/>
              </w:rPr>
            </w:pPr>
            <w:r>
              <w:rPr>
                <w:rFonts w:hint="eastAsia" w:ascii="宋体" w:hAnsi="宋体" w:eastAsia="宋体" w:cs="宋体"/>
                <w:sz w:val="21"/>
                <w:szCs w:val="21"/>
              </w:rPr>
              <w:t>采用产品满足国际测试标准MASH-2016测试要求，即满足以下4种工况，有4项测试报告：</w:t>
            </w:r>
          </w:p>
          <w:p w14:paraId="5F6D6EF5">
            <w:pPr>
              <w:jc w:val="both"/>
              <w:rPr>
                <w:rFonts w:hint="eastAsia" w:ascii="宋体" w:hAnsi="宋体" w:eastAsia="宋体" w:cs="宋体"/>
                <w:sz w:val="21"/>
                <w:szCs w:val="21"/>
              </w:rPr>
            </w:pPr>
            <w:r>
              <w:rPr>
                <w:rFonts w:hint="eastAsia" w:ascii="宋体" w:hAnsi="宋体" w:eastAsia="宋体" w:cs="宋体"/>
                <w:sz w:val="21"/>
                <w:szCs w:val="21"/>
              </w:rPr>
              <w:t>50工况：总质量1100kg±50 kg小型车100km/h正撞；</w:t>
            </w:r>
          </w:p>
          <w:p w14:paraId="0446983B">
            <w:pPr>
              <w:jc w:val="both"/>
              <w:rPr>
                <w:rFonts w:hint="eastAsia" w:ascii="宋体" w:hAnsi="宋体" w:eastAsia="宋体" w:cs="宋体"/>
                <w:sz w:val="21"/>
                <w:szCs w:val="21"/>
              </w:rPr>
            </w:pPr>
            <w:r>
              <w:rPr>
                <w:rFonts w:hint="eastAsia" w:ascii="宋体" w:hAnsi="宋体" w:eastAsia="宋体" w:cs="宋体"/>
                <w:sz w:val="21"/>
                <w:szCs w:val="21"/>
              </w:rPr>
              <w:t>51工况：总质量2270kg±50 kg小型车100km/h正撞；</w:t>
            </w:r>
          </w:p>
          <w:p w14:paraId="234AC024">
            <w:pPr>
              <w:jc w:val="both"/>
              <w:rPr>
                <w:rFonts w:hint="eastAsia" w:ascii="宋体" w:hAnsi="宋体" w:eastAsia="宋体" w:cs="宋体"/>
                <w:sz w:val="21"/>
                <w:szCs w:val="21"/>
              </w:rPr>
            </w:pPr>
            <w:r>
              <w:rPr>
                <w:rFonts w:hint="eastAsia" w:ascii="宋体" w:hAnsi="宋体" w:eastAsia="宋体" w:cs="宋体"/>
                <w:sz w:val="21"/>
                <w:szCs w:val="21"/>
              </w:rPr>
              <w:t>52工况：总质量2270kg±50 kg小型车100km/h偏撞；</w:t>
            </w:r>
          </w:p>
          <w:p w14:paraId="05B9DB1B">
            <w:pPr>
              <w:jc w:val="both"/>
              <w:rPr>
                <w:rFonts w:hint="eastAsia" w:ascii="宋体" w:hAnsi="宋体" w:eastAsia="宋体" w:cs="宋体"/>
                <w:sz w:val="21"/>
                <w:szCs w:val="21"/>
              </w:rPr>
            </w:pPr>
            <w:r>
              <w:rPr>
                <w:rFonts w:hint="eastAsia" w:ascii="宋体" w:hAnsi="宋体" w:eastAsia="宋体" w:cs="宋体"/>
                <w:sz w:val="21"/>
                <w:szCs w:val="21"/>
              </w:rPr>
              <w:t>53工况：总质量2270kg±50 kg小型车100km/h偏斜撞。</w:t>
            </w:r>
          </w:p>
          <w:p w14:paraId="46174CDC">
            <w:pPr>
              <w:jc w:val="both"/>
              <w:rPr>
                <w:rFonts w:hint="eastAsia" w:ascii="宋体" w:hAnsi="宋体" w:eastAsia="宋体" w:cs="宋体"/>
                <w:sz w:val="21"/>
                <w:szCs w:val="21"/>
              </w:rPr>
            </w:pPr>
            <w:r>
              <w:rPr>
                <w:rFonts w:hint="eastAsia" w:ascii="宋体" w:hAnsi="宋体" w:eastAsia="宋体" w:cs="宋体"/>
                <w:sz w:val="21"/>
                <w:szCs w:val="21"/>
              </w:rPr>
              <w:t>（提供国家权威认证的第三方机构出具的测试报告）</w:t>
            </w:r>
          </w:p>
        </w:tc>
      </w:tr>
      <w:tr w14:paraId="018A9B4A">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392A0D45">
            <w:pPr>
              <w:jc w:val="both"/>
              <w:rPr>
                <w:rFonts w:hint="eastAsia" w:ascii="宋体" w:hAnsi="宋体" w:eastAsia="宋体" w:cs="宋体"/>
                <w:sz w:val="21"/>
                <w:szCs w:val="21"/>
              </w:rPr>
            </w:pPr>
            <w:r>
              <w:rPr>
                <w:rFonts w:hint="eastAsia" w:ascii="宋体" w:hAnsi="宋体" w:eastAsia="宋体" w:cs="宋体"/>
                <w:sz w:val="21"/>
                <w:szCs w:val="21"/>
              </w:rPr>
              <w:t>*核心吸能材质</w:t>
            </w:r>
          </w:p>
        </w:tc>
        <w:tc>
          <w:tcPr>
            <w:tcW w:w="3443" w:type="pct"/>
            <w:tcBorders>
              <w:top w:val="single" w:color="auto" w:sz="4" w:space="0"/>
              <w:left w:val="nil"/>
              <w:bottom w:val="single" w:color="auto" w:sz="4" w:space="0"/>
              <w:right w:val="single" w:color="auto" w:sz="4" w:space="0"/>
            </w:tcBorders>
            <w:vAlign w:val="center"/>
          </w:tcPr>
          <w:p w14:paraId="1D4BD72D">
            <w:pPr>
              <w:jc w:val="both"/>
              <w:rPr>
                <w:rFonts w:hint="eastAsia" w:ascii="宋体" w:hAnsi="宋体" w:eastAsia="宋体" w:cs="宋体"/>
                <w:sz w:val="21"/>
                <w:szCs w:val="21"/>
              </w:rPr>
            </w:pPr>
            <w:r>
              <w:rPr>
                <w:rFonts w:hint="eastAsia" w:ascii="宋体" w:hAnsi="宋体" w:eastAsia="宋体" w:cs="宋体"/>
                <w:sz w:val="21"/>
                <w:szCs w:val="21"/>
              </w:rPr>
              <w:t>中间填充材料须为航空军工级吸能铝蜂窝；（提供国家权威认证的第三方机构出具的材料检测报告、防撞缓冲垫剖解图，杜绝采用纸质蜂窝铝或建筑蜂窝铝板材）</w:t>
            </w:r>
          </w:p>
        </w:tc>
      </w:tr>
      <w:tr w14:paraId="0E585653">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3D74135D">
            <w:pPr>
              <w:jc w:val="both"/>
              <w:rPr>
                <w:rFonts w:hint="eastAsia" w:ascii="宋体" w:hAnsi="宋体" w:eastAsia="宋体" w:cs="宋体"/>
                <w:sz w:val="21"/>
                <w:szCs w:val="21"/>
              </w:rPr>
            </w:pPr>
            <w:r>
              <w:rPr>
                <w:rFonts w:hint="eastAsia" w:ascii="宋体" w:hAnsi="宋体" w:eastAsia="宋体" w:cs="宋体"/>
                <w:sz w:val="21"/>
                <w:szCs w:val="21"/>
              </w:rPr>
              <w:t>*核心吸能材质检测</w:t>
            </w:r>
          </w:p>
        </w:tc>
        <w:tc>
          <w:tcPr>
            <w:tcW w:w="3443" w:type="pct"/>
            <w:tcBorders>
              <w:top w:val="single" w:color="auto" w:sz="4" w:space="0"/>
              <w:left w:val="nil"/>
              <w:bottom w:val="single" w:color="auto" w:sz="4" w:space="0"/>
              <w:right w:val="single" w:color="auto" w:sz="4" w:space="0"/>
            </w:tcBorders>
            <w:vAlign w:val="center"/>
          </w:tcPr>
          <w:p w14:paraId="2917BA71">
            <w:pPr>
              <w:jc w:val="both"/>
              <w:rPr>
                <w:rFonts w:hint="eastAsia" w:ascii="宋体" w:hAnsi="宋体" w:eastAsia="宋体" w:cs="宋体"/>
                <w:sz w:val="21"/>
                <w:szCs w:val="21"/>
              </w:rPr>
            </w:pPr>
            <w:r>
              <w:rPr>
                <w:rFonts w:hint="eastAsia" w:ascii="宋体" w:hAnsi="宋体" w:eastAsia="宋体" w:cs="宋体"/>
                <w:sz w:val="21"/>
                <w:szCs w:val="21"/>
              </w:rPr>
              <w:t>防撞缓冲垫吸能元件（铝蜂窝）有多项间接性寿命周期测试检测报告≥3项有效的检测报告。（需提供国家权威认证的第三方机构出具的检测报告）</w:t>
            </w:r>
          </w:p>
        </w:tc>
      </w:tr>
      <w:tr w14:paraId="75A605AE">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6DF45663">
            <w:pPr>
              <w:jc w:val="both"/>
              <w:rPr>
                <w:rFonts w:hint="eastAsia" w:ascii="宋体" w:hAnsi="宋体" w:eastAsia="宋体" w:cs="宋体"/>
                <w:sz w:val="21"/>
                <w:szCs w:val="21"/>
              </w:rPr>
            </w:pPr>
            <w:r>
              <w:rPr>
                <w:rFonts w:hint="eastAsia" w:ascii="宋体" w:hAnsi="宋体" w:eastAsia="宋体" w:cs="宋体"/>
                <w:sz w:val="21"/>
                <w:szCs w:val="21"/>
              </w:rPr>
              <w:t>*结构形式</w:t>
            </w:r>
          </w:p>
        </w:tc>
        <w:tc>
          <w:tcPr>
            <w:tcW w:w="3443" w:type="pct"/>
            <w:tcBorders>
              <w:top w:val="single" w:color="auto" w:sz="4" w:space="0"/>
              <w:left w:val="nil"/>
              <w:bottom w:val="single" w:color="auto" w:sz="4" w:space="0"/>
              <w:right w:val="single" w:color="auto" w:sz="4" w:space="0"/>
            </w:tcBorders>
            <w:vAlign w:val="center"/>
          </w:tcPr>
          <w:p w14:paraId="51A3028F">
            <w:pPr>
              <w:jc w:val="both"/>
              <w:rPr>
                <w:rFonts w:hint="eastAsia" w:ascii="宋体" w:hAnsi="宋体" w:eastAsia="宋体" w:cs="宋体"/>
                <w:sz w:val="21"/>
                <w:szCs w:val="21"/>
              </w:rPr>
            </w:pPr>
            <w:r>
              <w:rPr>
                <w:rFonts w:hint="eastAsia" w:ascii="宋体" w:hAnsi="宋体" w:eastAsia="宋体" w:cs="宋体"/>
                <w:sz w:val="21"/>
                <w:szCs w:val="21"/>
              </w:rPr>
              <w:t>防撞缓冲垫需采用一体式吸能结构，同时防撞缓冲垫两侧具有凹型波纹导向加强设计，防止后车撞击时出现骑爬或钻入前车底部风险（提供防撞缓冲垫实物照片）。</w:t>
            </w:r>
          </w:p>
        </w:tc>
      </w:tr>
      <w:tr w14:paraId="70D51EE7">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7D34ED54">
            <w:pPr>
              <w:jc w:val="both"/>
              <w:rPr>
                <w:rFonts w:hint="eastAsia" w:ascii="宋体" w:hAnsi="宋体" w:eastAsia="宋体" w:cs="宋体"/>
                <w:sz w:val="21"/>
                <w:szCs w:val="21"/>
              </w:rPr>
            </w:pPr>
            <w:r>
              <w:rPr>
                <w:rFonts w:hint="eastAsia" w:ascii="宋体" w:hAnsi="宋体" w:eastAsia="宋体" w:cs="宋体"/>
                <w:sz w:val="21"/>
                <w:szCs w:val="21"/>
              </w:rPr>
              <w:t>*产品专利</w:t>
            </w:r>
          </w:p>
        </w:tc>
        <w:tc>
          <w:tcPr>
            <w:tcW w:w="3443" w:type="pct"/>
            <w:tcBorders>
              <w:top w:val="single" w:color="auto" w:sz="4" w:space="0"/>
              <w:left w:val="nil"/>
              <w:bottom w:val="single" w:color="auto" w:sz="4" w:space="0"/>
              <w:right w:val="single" w:color="auto" w:sz="4" w:space="0"/>
            </w:tcBorders>
            <w:vAlign w:val="center"/>
          </w:tcPr>
          <w:p w14:paraId="728198F0">
            <w:pPr>
              <w:jc w:val="both"/>
              <w:rPr>
                <w:rFonts w:hint="eastAsia" w:ascii="宋体" w:hAnsi="宋体" w:eastAsia="宋体" w:cs="宋体"/>
                <w:sz w:val="21"/>
                <w:szCs w:val="21"/>
              </w:rPr>
            </w:pPr>
            <w:r>
              <w:rPr>
                <w:rFonts w:hint="eastAsia" w:ascii="宋体" w:hAnsi="宋体" w:eastAsia="宋体" w:cs="宋体"/>
                <w:sz w:val="21"/>
                <w:szCs w:val="21"/>
              </w:rPr>
              <w:t>防撞缓冲垫制造厂家拥有防撞缓冲垫或缓冲吸能方面相关的发明专利≥6项（提供专利证书）</w:t>
            </w:r>
          </w:p>
        </w:tc>
      </w:tr>
      <w:tr w14:paraId="6F7DA5B4">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3B0F7D87">
            <w:pPr>
              <w:jc w:val="both"/>
              <w:rPr>
                <w:rFonts w:hint="eastAsia" w:ascii="宋体" w:hAnsi="宋体" w:eastAsia="宋体" w:cs="宋体"/>
                <w:sz w:val="21"/>
                <w:szCs w:val="21"/>
              </w:rPr>
            </w:pPr>
            <w:r>
              <w:rPr>
                <w:rFonts w:hint="eastAsia" w:ascii="宋体" w:hAnsi="宋体" w:eastAsia="宋体" w:cs="宋体"/>
                <w:sz w:val="21"/>
                <w:szCs w:val="21"/>
              </w:rPr>
              <w:t>颠簸测试</w:t>
            </w:r>
          </w:p>
        </w:tc>
        <w:tc>
          <w:tcPr>
            <w:tcW w:w="3443" w:type="pct"/>
            <w:tcBorders>
              <w:top w:val="single" w:color="auto" w:sz="4" w:space="0"/>
              <w:left w:val="nil"/>
              <w:bottom w:val="single" w:color="auto" w:sz="4" w:space="0"/>
              <w:right w:val="single" w:color="auto" w:sz="4" w:space="0"/>
            </w:tcBorders>
            <w:vAlign w:val="center"/>
          </w:tcPr>
          <w:p w14:paraId="5C4F7663">
            <w:pPr>
              <w:jc w:val="both"/>
              <w:rPr>
                <w:rFonts w:hint="eastAsia" w:ascii="宋体" w:hAnsi="宋体" w:eastAsia="宋体" w:cs="宋体"/>
                <w:sz w:val="21"/>
                <w:szCs w:val="21"/>
              </w:rPr>
            </w:pPr>
            <w:r>
              <w:rPr>
                <w:rFonts w:hint="eastAsia" w:ascii="宋体" w:hAnsi="宋体" w:eastAsia="宋体" w:cs="宋体"/>
                <w:sz w:val="21"/>
                <w:szCs w:val="21"/>
              </w:rPr>
              <w:t>供货的同类型防撞缓冲垫需经过结构颠簸测试，结构强度达标。（提供相关的测试报告）</w:t>
            </w:r>
          </w:p>
        </w:tc>
      </w:tr>
      <w:tr w14:paraId="3F4EC12D">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424AE041">
            <w:pPr>
              <w:jc w:val="both"/>
              <w:rPr>
                <w:rFonts w:hint="eastAsia" w:ascii="宋体" w:hAnsi="宋体" w:eastAsia="宋体" w:cs="宋体"/>
                <w:sz w:val="21"/>
                <w:szCs w:val="21"/>
              </w:rPr>
            </w:pPr>
            <w:r>
              <w:rPr>
                <w:rFonts w:hint="eastAsia" w:ascii="宋体" w:hAnsi="宋体" w:eastAsia="宋体" w:cs="宋体"/>
                <w:sz w:val="21"/>
                <w:szCs w:val="21"/>
              </w:rPr>
              <w:t>*制造能力</w:t>
            </w:r>
          </w:p>
        </w:tc>
        <w:tc>
          <w:tcPr>
            <w:tcW w:w="3443" w:type="pct"/>
            <w:tcBorders>
              <w:top w:val="single" w:color="auto" w:sz="4" w:space="0"/>
              <w:left w:val="nil"/>
              <w:bottom w:val="single" w:color="auto" w:sz="4" w:space="0"/>
              <w:right w:val="single" w:color="auto" w:sz="4" w:space="0"/>
            </w:tcBorders>
            <w:vAlign w:val="center"/>
          </w:tcPr>
          <w:p w14:paraId="4D89ECD0">
            <w:pPr>
              <w:jc w:val="both"/>
              <w:rPr>
                <w:rFonts w:hint="eastAsia" w:ascii="宋体" w:hAnsi="宋体" w:eastAsia="宋体" w:cs="宋体"/>
                <w:sz w:val="21"/>
                <w:szCs w:val="21"/>
              </w:rPr>
            </w:pPr>
            <w:r>
              <w:rPr>
                <w:rFonts w:hint="eastAsia" w:ascii="宋体" w:hAnsi="宋体" w:eastAsia="宋体" w:cs="宋体"/>
                <w:sz w:val="21"/>
                <w:szCs w:val="21"/>
              </w:rPr>
              <w:t>防撞缓冲垫制造厂家需要具备防撞垫核心吸能材料有关生产方面的国际粘接体系资质认证；(需提供证书扫描件,原件中标后备查)</w:t>
            </w:r>
          </w:p>
        </w:tc>
      </w:tr>
      <w:tr w14:paraId="4BCF8A01">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4B55BE7A">
            <w:pPr>
              <w:jc w:val="both"/>
              <w:rPr>
                <w:rFonts w:hint="eastAsia" w:ascii="宋体" w:hAnsi="宋体" w:eastAsia="宋体" w:cs="宋体"/>
                <w:sz w:val="21"/>
                <w:szCs w:val="21"/>
              </w:rPr>
            </w:pPr>
            <w:r>
              <w:rPr>
                <w:rFonts w:hint="eastAsia" w:ascii="宋体" w:hAnsi="宋体" w:eastAsia="宋体" w:cs="宋体"/>
                <w:sz w:val="21"/>
                <w:szCs w:val="21"/>
              </w:rPr>
              <w:t>防撞缓冲垫动力系统</w:t>
            </w:r>
          </w:p>
        </w:tc>
        <w:tc>
          <w:tcPr>
            <w:tcW w:w="3443" w:type="pct"/>
            <w:tcBorders>
              <w:top w:val="single" w:color="auto" w:sz="4" w:space="0"/>
              <w:left w:val="nil"/>
              <w:bottom w:val="single" w:color="auto" w:sz="4" w:space="0"/>
              <w:right w:val="single" w:color="auto" w:sz="4" w:space="0"/>
            </w:tcBorders>
            <w:vAlign w:val="center"/>
          </w:tcPr>
          <w:p w14:paraId="33793413">
            <w:pPr>
              <w:jc w:val="both"/>
              <w:rPr>
                <w:rFonts w:hint="eastAsia" w:ascii="宋体" w:hAnsi="宋体" w:eastAsia="宋体" w:cs="宋体"/>
                <w:sz w:val="21"/>
                <w:szCs w:val="21"/>
              </w:rPr>
            </w:pPr>
            <w:r>
              <w:rPr>
                <w:rFonts w:hint="eastAsia" w:ascii="宋体" w:hAnsi="宋体" w:eastAsia="宋体" w:cs="宋体"/>
                <w:sz w:val="21"/>
                <w:szCs w:val="21"/>
              </w:rPr>
              <w:t>独立电动液压动力单元</w:t>
            </w:r>
          </w:p>
        </w:tc>
      </w:tr>
      <w:tr w14:paraId="74EC5AEA">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73EE1EAE">
            <w:pPr>
              <w:jc w:val="both"/>
              <w:rPr>
                <w:rFonts w:hint="eastAsia" w:ascii="宋体" w:hAnsi="宋体" w:eastAsia="宋体" w:cs="宋体"/>
                <w:sz w:val="21"/>
                <w:szCs w:val="21"/>
              </w:rPr>
            </w:pPr>
            <w:r>
              <w:rPr>
                <w:rFonts w:hint="eastAsia" w:ascii="宋体" w:hAnsi="宋体" w:eastAsia="宋体" w:cs="宋体"/>
                <w:sz w:val="21"/>
                <w:szCs w:val="21"/>
              </w:rPr>
              <w:t>防撞缓冲垫翻转方式</w:t>
            </w:r>
          </w:p>
        </w:tc>
        <w:tc>
          <w:tcPr>
            <w:tcW w:w="3443" w:type="pct"/>
            <w:tcBorders>
              <w:top w:val="single" w:color="auto" w:sz="4" w:space="0"/>
              <w:left w:val="nil"/>
              <w:bottom w:val="single" w:color="auto" w:sz="4" w:space="0"/>
              <w:right w:val="single" w:color="auto" w:sz="4" w:space="0"/>
            </w:tcBorders>
            <w:vAlign w:val="center"/>
          </w:tcPr>
          <w:p w14:paraId="111BDCA5">
            <w:pPr>
              <w:jc w:val="both"/>
              <w:rPr>
                <w:rFonts w:hint="eastAsia" w:ascii="宋体" w:hAnsi="宋体" w:eastAsia="宋体" w:cs="宋体"/>
                <w:sz w:val="21"/>
                <w:szCs w:val="21"/>
              </w:rPr>
            </w:pPr>
            <w:r>
              <w:rPr>
                <w:rFonts w:hint="eastAsia" w:ascii="宋体" w:hAnsi="宋体" w:eastAsia="宋体" w:cs="宋体"/>
                <w:sz w:val="21"/>
                <w:szCs w:val="21"/>
              </w:rPr>
              <w:t>双油缸液压翻转，可在行驶过程中在驾驶室进行操控</w:t>
            </w:r>
          </w:p>
        </w:tc>
      </w:tr>
      <w:tr w14:paraId="3DD3967D">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2A68ACF5">
            <w:pPr>
              <w:jc w:val="both"/>
              <w:rPr>
                <w:rFonts w:hint="eastAsia" w:ascii="宋体" w:hAnsi="宋体" w:eastAsia="宋体" w:cs="宋体"/>
                <w:sz w:val="21"/>
                <w:szCs w:val="21"/>
              </w:rPr>
            </w:pPr>
            <w:r>
              <w:rPr>
                <w:rFonts w:hint="eastAsia" w:ascii="宋体" w:hAnsi="宋体" w:eastAsia="宋体" w:cs="宋体"/>
                <w:sz w:val="21"/>
                <w:szCs w:val="21"/>
              </w:rPr>
              <w:t>*防撞缓冲垫和灯架翻转</w:t>
            </w:r>
          </w:p>
        </w:tc>
        <w:tc>
          <w:tcPr>
            <w:tcW w:w="3443" w:type="pct"/>
            <w:tcBorders>
              <w:top w:val="single" w:color="auto" w:sz="4" w:space="0"/>
              <w:left w:val="nil"/>
              <w:bottom w:val="single" w:color="auto" w:sz="4" w:space="0"/>
              <w:right w:val="single" w:color="auto" w:sz="4" w:space="0"/>
            </w:tcBorders>
            <w:vAlign w:val="center"/>
          </w:tcPr>
          <w:p w14:paraId="0CC006DA">
            <w:pPr>
              <w:jc w:val="both"/>
              <w:rPr>
                <w:rFonts w:hint="eastAsia" w:ascii="宋体" w:hAnsi="宋体" w:eastAsia="宋体" w:cs="宋体"/>
                <w:sz w:val="21"/>
                <w:szCs w:val="21"/>
              </w:rPr>
            </w:pPr>
            <w:r>
              <w:rPr>
                <w:rFonts w:hint="eastAsia" w:ascii="宋体" w:hAnsi="宋体" w:eastAsia="宋体" w:cs="宋体"/>
                <w:sz w:val="21"/>
                <w:szCs w:val="21"/>
              </w:rPr>
              <w:t>0-180度，可折叠置于车厢上方（提供照片佐证）</w:t>
            </w:r>
          </w:p>
        </w:tc>
      </w:tr>
      <w:tr w14:paraId="03066587">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79410336">
            <w:pPr>
              <w:jc w:val="both"/>
              <w:rPr>
                <w:rFonts w:hint="eastAsia" w:ascii="宋体" w:hAnsi="宋体" w:eastAsia="宋体" w:cs="宋体"/>
                <w:sz w:val="21"/>
                <w:szCs w:val="21"/>
              </w:rPr>
            </w:pPr>
            <w:r>
              <w:rPr>
                <w:rFonts w:hint="eastAsia" w:ascii="宋体" w:hAnsi="宋体" w:eastAsia="宋体" w:cs="宋体"/>
                <w:sz w:val="21"/>
                <w:szCs w:val="21"/>
              </w:rPr>
              <w:t>工作时行驶速度</w:t>
            </w:r>
          </w:p>
        </w:tc>
        <w:tc>
          <w:tcPr>
            <w:tcW w:w="3443" w:type="pct"/>
            <w:tcBorders>
              <w:top w:val="single" w:color="auto" w:sz="4" w:space="0"/>
              <w:left w:val="nil"/>
              <w:bottom w:val="single" w:color="auto" w:sz="4" w:space="0"/>
              <w:right w:val="single" w:color="auto" w:sz="4" w:space="0"/>
            </w:tcBorders>
            <w:vAlign w:val="center"/>
          </w:tcPr>
          <w:p w14:paraId="4E252B99">
            <w:pPr>
              <w:jc w:val="both"/>
              <w:rPr>
                <w:rFonts w:hint="eastAsia" w:ascii="宋体" w:hAnsi="宋体" w:eastAsia="宋体" w:cs="宋体"/>
                <w:sz w:val="21"/>
                <w:szCs w:val="21"/>
              </w:rPr>
            </w:pPr>
            <w:r>
              <w:rPr>
                <w:rFonts w:hint="eastAsia" w:ascii="宋体" w:hAnsi="宋体" w:eastAsia="宋体" w:cs="宋体"/>
                <w:sz w:val="21"/>
                <w:szCs w:val="21"/>
              </w:rPr>
              <w:t>≥70km/h（防撞垫打开状态）</w:t>
            </w:r>
          </w:p>
        </w:tc>
      </w:tr>
      <w:tr w14:paraId="38C1F048">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27719076">
            <w:pPr>
              <w:jc w:val="both"/>
              <w:rPr>
                <w:rFonts w:hint="eastAsia" w:ascii="宋体" w:hAnsi="宋体" w:eastAsia="宋体" w:cs="宋体"/>
                <w:sz w:val="21"/>
                <w:szCs w:val="21"/>
              </w:rPr>
            </w:pPr>
            <w:r>
              <w:rPr>
                <w:rFonts w:hint="eastAsia" w:ascii="宋体" w:hAnsi="宋体" w:eastAsia="宋体" w:cs="宋体"/>
                <w:sz w:val="21"/>
                <w:szCs w:val="21"/>
              </w:rPr>
              <w:t>行车记录仪、倒车影像</w:t>
            </w:r>
          </w:p>
        </w:tc>
        <w:tc>
          <w:tcPr>
            <w:tcW w:w="3443" w:type="pct"/>
            <w:tcBorders>
              <w:top w:val="single" w:color="auto" w:sz="4" w:space="0"/>
              <w:left w:val="nil"/>
              <w:bottom w:val="single" w:color="auto" w:sz="4" w:space="0"/>
              <w:right w:val="single" w:color="auto" w:sz="4" w:space="0"/>
            </w:tcBorders>
            <w:vAlign w:val="center"/>
          </w:tcPr>
          <w:p w14:paraId="4ABFBCFC">
            <w:pPr>
              <w:jc w:val="both"/>
              <w:rPr>
                <w:rFonts w:hint="eastAsia" w:ascii="宋体" w:hAnsi="宋体" w:eastAsia="宋体" w:cs="宋体"/>
                <w:sz w:val="21"/>
                <w:szCs w:val="21"/>
              </w:rPr>
            </w:pPr>
            <w:bookmarkStart w:id="164" w:name="_GoBack"/>
            <w:bookmarkEnd w:id="164"/>
            <w:r>
              <w:rPr>
                <w:rFonts w:hint="eastAsia" w:ascii="宋体" w:hAnsi="宋体" w:eastAsia="宋体" w:cs="宋体"/>
                <w:sz w:val="21"/>
                <w:szCs w:val="21"/>
              </w:rPr>
              <w:t>车辆配有行车记录仪和倒车影像</w:t>
            </w:r>
          </w:p>
        </w:tc>
      </w:tr>
      <w:tr w14:paraId="2051F531">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032BC0BE">
            <w:pPr>
              <w:jc w:val="both"/>
              <w:rPr>
                <w:rFonts w:hint="eastAsia" w:ascii="宋体" w:hAnsi="宋体" w:eastAsia="宋体" w:cs="宋体"/>
                <w:sz w:val="21"/>
                <w:szCs w:val="21"/>
              </w:rPr>
            </w:pPr>
            <w:r>
              <w:rPr>
                <w:rFonts w:hint="eastAsia" w:ascii="宋体" w:hAnsi="宋体" w:eastAsia="宋体" w:cs="宋体"/>
                <w:sz w:val="21"/>
                <w:szCs w:val="21"/>
              </w:rPr>
              <w:t>质保期</w:t>
            </w:r>
          </w:p>
        </w:tc>
        <w:tc>
          <w:tcPr>
            <w:tcW w:w="3443" w:type="pct"/>
            <w:tcBorders>
              <w:top w:val="single" w:color="auto" w:sz="4" w:space="0"/>
              <w:left w:val="nil"/>
              <w:bottom w:val="single" w:color="auto" w:sz="4" w:space="0"/>
              <w:right w:val="single" w:color="auto" w:sz="4" w:space="0"/>
            </w:tcBorders>
            <w:vAlign w:val="center"/>
          </w:tcPr>
          <w:p w14:paraId="408DF08C">
            <w:pPr>
              <w:jc w:val="both"/>
              <w:rPr>
                <w:rFonts w:hint="eastAsia" w:ascii="宋体" w:hAnsi="宋体" w:eastAsia="宋体" w:cs="宋体"/>
                <w:sz w:val="21"/>
                <w:szCs w:val="21"/>
              </w:rPr>
            </w:pPr>
            <w:r>
              <w:rPr>
                <w:rFonts w:hint="eastAsia" w:ascii="宋体" w:hAnsi="宋体" w:eastAsia="宋体" w:cs="宋体"/>
                <w:sz w:val="21"/>
                <w:szCs w:val="21"/>
                <w:lang w:eastAsia="en-US"/>
              </w:rPr>
              <w:t>质保期：24个月</w:t>
            </w:r>
          </w:p>
        </w:tc>
      </w:tr>
      <w:tr w14:paraId="62B84D8F">
        <w:tblPrEx>
          <w:tblCellMar>
            <w:top w:w="0" w:type="dxa"/>
            <w:left w:w="0" w:type="dxa"/>
            <w:bottom w:w="0" w:type="dxa"/>
            <w:right w:w="0" w:type="dxa"/>
          </w:tblCellMar>
        </w:tblPrEx>
        <w:trPr>
          <w:trHeight w:val="0" w:hRule="atLeast"/>
        </w:trPr>
        <w:tc>
          <w:tcPr>
            <w:tcW w:w="1556" w:type="pct"/>
            <w:tcBorders>
              <w:top w:val="single" w:color="auto" w:sz="4" w:space="0"/>
              <w:left w:val="single" w:color="auto" w:sz="4" w:space="0"/>
              <w:bottom w:val="single" w:color="auto" w:sz="4" w:space="0"/>
              <w:right w:val="single" w:color="auto" w:sz="4" w:space="0"/>
            </w:tcBorders>
            <w:vAlign w:val="center"/>
          </w:tcPr>
          <w:p w14:paraId="03382A7A">
            <w:pPr>
              <w:jc w:val="both"/>
              <w:rPr>
                <w:rFonts w:hint="eastAsia" w:ascii="宋体" w:hAnsi="宋体" w:eastAsia="宋体" w:cs="宋体"/>
                <w:sz w:val="21"/>
                <w:szCs w:val="21"/>
              </w:rPr>
            </w:pPr>
            <w:r>
              <w:rPr>
                <w:rFonts w:hint="eastAsia" w:ascii="宋体" w:hAnsi="宋体" w:eastAsia="宋体" w:cs="宋体"/>
                <w:sz w:val="21"/>
                <w:szCs w:val="21"/>
              </w:rPr>
              <w:t>*其他</w:t>
            </w:r>
          </w:p>
        </w:tc>
        <w:tc>
          <w:tcPr>
            <w:tcW w:w="3443" w:type="pct"/>
            <w:tcBorders>
              <w:top w:val="single" w:color="auto" w:sz="4" w:space="0"/>
              <w:left w:val="nil"/>
              <w:bottom w:val="single" w:color="auto" w:sz="4" w:space="0"/>
              <w:right w:val="single" w:color="auto" w:sz="4" w:space="0"/>
            </w:tcBorders>
            <w:vAlign w:val="center"/>
          </w:tcPr>
          <w:p w14:paraId="1CC23D59">
            <w:pPr>
              <w:jc w:val="both"/>
              <w:rPr>
                <w:rFonts w:hint="eastAsia" w:ascii="宋体" w:hAnsi="宋体" w:eastAsia="宋体" w:cs="宋体"/>
                <w:sz w:val="21"/>
                <w:szCs w:val="21"/>
              </w:rPr>
            </w:pPr>
            <w:r>
              <w:rPr>
                <w:rFonts w:hint="eastAsia" w:ascii="宋体" w:hAnsi="宋体" w:eastAsia="宋体" w:cs="宋体"/>
                <w:sz w:val="21"/>
                <w:szCs w:val="21"/>
              </w:rPr>
              <w:t>防撞车被撞后，供应商应免费协助办理保险理赔，防撞车发生事故，需在24小时内完成更换原厂防撞包，维修期间免费提供备用车辆供使用方使用</w:t>
            </w:r>
          </w:p>
        </w:tc>
      </w:tr>
    </w:tbl>
    <w:p w14:paraId="5A36F4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
          <w:szCs w:val="21"/>
          <w:lang w:eastAsia="en-US"/>
        </w:rPr>
      </w:pPr>
    </w:p>
    <w:p w14:paraId="55C00EF4">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技术服务范围及验收标准</w:t>
      </w:r>
    </w:p>
    <w:p w14:paraId="75E396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1.车辆规格性能均应符合或优于本标书的要求且为“零公里”新车，交货时每辆车须带≥50升燃油。</w:t>
      </w:r>
    </w:p>
    <w:p w14:paraId="799C15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2.提供厂家使用说明书及维修手册1套。</w:t>
      </w:r>
    </w:p>
    <w:p w14:paraId="602C0A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3.出示厂家检验报告及合格证明。</w:t>
      </w:r>
    </w:p>
    <w:p w14:paraId="036039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4.外观上灯光和仪表应灵敏、完整、清晰、准确，整机涂漆光泽均匀、无油漆脱落锈蚀、碰伤，附具齐全完整。</w:t>
      </w:r>
    </w:p>
    <w:p w14:paraId="2E0A4E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5.各部件性能可靠，无渗漏，无异响，转动灵活，制动良好。</w:t>
      </w:r>
    </w:p>
    <w:p w14:paraId="57C097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6.验收期限：交货后一周内。</w:t>
      </w:r>
    </w:p>
    <w:p w14:paraId="444D2F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7.提供到货天数：90天（合同签订后90天内）</w:t>
      </w:r>
    </w:p>
    <w:p w14:paraId="2D3A4D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8.提供交货前办理相关天数：90天（合同签订后90天内）</w:t>
      </w:r>
    </w:p>
    <w:p w14:paraId="70FBF5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四、培训要求基本服务要求</w:t>
      </w:r>
    </w:p>
    <w:p w14:paraId="597854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1.车辆（设备）安全操作规范、安全操作程序、用途、结构及维护和保养方法；</w:t>
      </w:r>
    </w:p>
    <w:p w14:paraId="7DDC76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2.指导需方操作人员进行模拟操作及对不同事故的处理；</w:t>
      </w:r>
    </w:p>
    <w:p w14:paraId="57F107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3.培训计划：完善的培训计划，不少于1天的理论和实际操作培训，保证参训人员熟练操作，懂得日常维保及维修，熟悉各部件功能，能够发现故障，能够准确与厂家技术人员进行技术沟通的能力。</w:t>
      </w:r>
    </w:p>
    <w:p w14:paraId="6ACFD9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五、质保期及售后服务</w:t>
      </w:r>
    </w:p>
    <w:p w14:paraId="5233A2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1.设备（易损件除外）质保期不少于2年；若厂家公开承诺质保期更长的，质保期从其承诺；质保期自设备验收合格之日起计。</w:t>
      </w:r>
    </w:p>
    <w:p w14:paraId="44AC0F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2.在质保期内，接到买方服务信息后，2个小时内应做出明确回复，24小时内到达现场，产生一切费用由卖方承担，72小时内处理完毕。</w:t>
      </w:r>
    </w:p>
    <w:p w14:paraId="4EEB0B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3.质保期内的维修工时及材料费用、维修人员的差旅费、宿费等由卖方承担。</w:t>
      </w:r>
    </w:p>
    <w:p w14:paraId="2FEC74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4.在质保期内，如设备或零部件因非人力因素出现故障而造成短期停用，则质保期和免费维修期相应顺延。</w:t>
      </w:r>
    </w:p>
    <w:p w14:paraId="488371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5.质保期外出现故障时，卖方应按质保期内时效规定提供维修服务，以优惠价格收取材料费。及人工费。</w:t>
      </w:r>
    </w:p>
    <w:p w14:paraId="6202B1C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六、其他要求</w:t>
      </w:r>
    </w:p>
    <w:p w14:paraId="026707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1.车辆配全套保养、维修专用工具，该项费用综合计入总报价中；</w:t>
      </w:r>
    </w:p>
    <w:p w14:paraId="05C977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2.配备随机及满足车辆正常使用需要的备品、备件，该项费用综合计入投标总报价中。</w:t>
      </w:r>
    </w:p>
    <w:p w14:paraId="27BAA86C"/>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9" w:name="_Toc101186772"/>
      <w:bookmarkStart w:id="80" w:name="_Toc9834_WPSOffice_Level1"/>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5145_WPSOffice_Level1"/>
      <w:bookmarkStart w:id="84" w:name="_Toc191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30529_WPSOffice_Level1"/>
      <w:bookmarkStart w:id="93" w:name="_Toc23368_WPSOffice_Level1"/>
      <w:bookmarkStart w:id="94" w:name="_Toc11424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32729_WPSOffice_Level1"/>
      <w:bookmarkStart w:id="98" w:name="_Toc5317_WPSOffice_Level1"/>
      <w:bookmarkStart w:id="99" w:name="_Toc212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5965_WPSOffice_Level1"/>
      <w:bookmarkStart w:id="101" w:name="_Toc2908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10608_WPSOffice_Level1"/>
      <w:bookmarkStart w:id="106" w:name="_Toc2374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19601_WPSOffice_Level1"/>
      <w:bookmarkStart w:id="110" w:name="_Toc1578_WPSOffice_Level1"/>
      <w:bookmarkStart w:id="111" w:name="_Toc9006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27403_WPSOffice_Level1"/>
      <w:bookmarkStart w:id="120" w:name="_Toc30273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9399_WPSOffice_Level1"/>
      <w:bookmarkStart w:id="129" w:name="_Toc2765_WPSOffice_Level1"/>
      <w:bookmarkStart w:id="130" w:name="_Toc30031_WPSOffice_Level1"/>
      <w:bookmarkStart w:id="131" w:name="_Toc18312_WPSOffice_Level1"/>
      <w:bookmarkStart w:id="132" w:name="_Toc1687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8695_WPSOffice_Level1"/>
      <w:bookmarkStart w:id="134" w:name="_Toc12530_WPSOffice_Level1"/>
      <w:bookmarkStart w:id="135" w:name="_Toc18668_WPSOffice_Level1"/>
      <w:bookmarkStart w:id="136" w:name="_Toc32350_WPSOffice_Level1"/>
      <w:bookmarkStart w:id="137" w:name="_Toc14563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24530_WPSOffice_Level1"/>
      <w:bookmarkStart w:id="143" w:name="_Toc15186_WPSOffice_Level1"/>
      <w:bookmarkStart w:id="144" w:name="_Toc24567_WPSOffice_Level1"/>
      <w:bookmarkStart w:id="145" w:name="_Toc32085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2815_WPSOffice_Level1"/>
      <w:bookmarkStart w:id="148" w:name="_Toc7738_WPSOffice_Level1"/>
      <w:bookmarkStart w:id="149" w:name="_Toc10436_WPSOffice_Level1"/>
      <w:bookmarkStart w:id="150" w:name="_Toc23545_WPSOffice_Level1"/>
      <w:bookmarkStart w:id="151"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7600_WPSOffice_Level2"/>
      <w:bookmarkStart w:id="153" w:name="_Toc2807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1452_WPSOffice_Level1"/>
      <w:bookmarkStart w:id="155" w:name="_Toc3772_WPSOffice_Level1"/>
      <w:bookmarkStart w:id="156" w:name="_Toc18547_WPSOffice_Level1"/>
      <w:bookmarkStart w:id="157" w:name="_Toc19004_WPSOffice_Level1"/>
      <w:bookmarkStart w:id="158"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12019_WPSOffice_Level1"/>
      <w:bookmarkStart w:id="160" w:name="_Toc9267_WPSOffice_Level1"/>
      <w:bookmarkStart w:id="161" w:name="_Toc3893_WPSOffice_Level1"/>
      <w:bookmarkStart w:id="162" w:name="_Toc5403_WPSOffice_Level1"/>
      <w:bookmarkStart w:id="163"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3D556F"/>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1B6805"/>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52EAC"/>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6B571C"/>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56399"/>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5955</Words>
  <Characters>6469</Characters>
  <Lines>141</Lines>
  <Paragraphs>39</Paragraphs>
  <TotalTime>2</TotalTime>
  <ScaleCrop>false</ScaleCrop>
  <LinksUpToDate>false</LinksUpToDate>
  <CharactersWithSpaces>6699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2026-04-29T07:26:47Z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D2826C819CF74E9EAA9FC381EF79CCD4_13</vt:lpwstr>
  </property>
  <property fmtid="{D5CDD505-2E9C-101B-9397-08002B2CF9AE}" pid="4" name="KSOTemplateDocerSaveRecord">
    <vt:lpwstr>eyJoZGlkIjoiNmRkMDM2N2M1MmE4MTlhMmQzMmFhZjU2ODc4Zjc3ZGUiLCJ1c2VySWQiOiI5NjA1OTI2NjYifQ==</vt:lpwstr>
  </property>
</Properties>
</file>