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eastAsia" w:ascii="Times New Roman" w:hAnsi="Times New Roman" w:eastAsia="宋体" w:cs="Times New Roman"/>
          <w:b/>
          <w:bCs/>
          <w:sz w:val="44"/>
          <w:szCs w:val="44"/>
          <w:lang w:val="en-US" w:eastAsia="zh-CN"/>
        </w:rPr>
        <w:t>8.7</w:t>
      </w:r>
      <w:r>
        <w:rPr>
          <w:rFonts w:hint="default" w:ascii="Times New Roman" w:hAnsi="Times New Roman" w:eastAsia="宋体" w:cs="Times New Roman"/>
          <w:b/>
          <w:bCs/>
          <w:sz w:val="44"/>
          <w:szCs w:val="44"/>
          <w:lang w:val="en-US" w:eastAsia="zh-CN"/>
        </w:rPr>
        <w:t>防撞车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r>
        <w:rPr>
          <w:rFonts w:hint="eastAsia" w:ascii="Times New Roman" w:hAnsi="Times New Roman" w:eastAsia="宋体" w:cs="Times New Roman"/>
          <w:b/>
          <w:bCs/>
          <w:sz w:val="44"/>
          <w:szCs w:val="44"/>
          <w:highlight w:val="none"/>
          <w:lang w:val="en-US" w:eastAsia="zh-CN"/>
        </w:rPr>
        <w:t>(二次)</w:t>
      </w:r>
    </w:p>
    <w:p w14:paraId="25026D1C">
      <w:pPr>
        <w:widowControl/>
        <w:jc w:val="center"/>
        <w:rPr>
          <w:rFonts w:hint="default" w:ascii="Times New Roman" w:hAnsi="Times New Roman" w:eastAsia="宋体" w:cs="Times New Roman"/>
          <w:b/>
          <w:bCs/>
          <w:sz w:val="44"/>
          <w:szCs w:val="44"/>
        </w:rPr>
      </w:pPr>
    </w:p>
    <w:p w14:paraId="79612C86">
      <w:pPr>
        <w:pStyle w:val="5"/>
        <w:rPr>
          <w:rFonts w:hint="default" w:ascii="Times New Roman" w:hAnsi="Times New Roman" w:cs="Times New Roman"/>
          <w:szCs w:val="21"/>
        </w:rPr>
      </w:pPr>
    </w:p>
    <w:p w14:paraId="55053262">
      <w:pPr>
        <w:pStyle w:val="5"/>
        <w:rPr>
          <w:rFonts w:hint="default" w:ascii="Times New Roman" w:hAnsi="Times New Roman" w:cs="Times New Roman"/>
          <w:szCs w:val="21"/>
        </w:rPr>
      </w:pPr>
    </w:p>
    <w:p w14:paraId="52D027E8">
      <w:pPr>
        <w:pStyle w:val="5"/>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8</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17</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5"/>
            <w:rPr>
              <w:rFonts w:hint="default" w:ascii="Times New Roman" w:hAnsi="Times New Roman" w:cs="Times New Roman"/>
            </w:rPr>
          </w:pPr>
        </w:p>
        <w:p w14:paraId="37B257B2">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2"/>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2"/>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3"/>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3"/>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6496_WPSOffice_Level2"/>
      <w:bookmarkStart w:id="3" w:name="_Toc24354_WPSOffice_Level2"/>
      <w:bookmarkStart w:id="4" w:name="_Toc4489_WPSOffice_Level2"/>
      <w:bookmarkStart w:id="5" w:name="_Toc525632585"/>
      <w:bookmarkStart w:id="6" w:name="_Toc13871"/>
      <w:bookmarkStart w:id="7" w:name="_Toc10395_WPSOffice_Level2"/>
      <w:bookmarkStart w:id="8" w:name="_Toc12765"/>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eastAsia="zh-CN"/>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8.7</w:t>
      </w:r>
      <w:r>
        <w:rPr>
          <w:rFonts w:hint="default" w:ascii="Times New Roman" w:hAnsi="Times New Roman" w:cs="Times New Roman"/>
          <w:szCs w:val="22"/>
          <w:u w:val="single"/>
          <w:lang w:val="en-US" w:eastAsia="zh-CN"/>
        </w:rPr>
        <w:t>防撞</w:t>
      </w:r>
      <w:r>
        <w:rPr>
          <w:rFonts w:hint="eastAsia" w:ascii="Times New Roman" w:hAnsi="Times New Roman" w:cs="Times New Roman"/>
          <w:szCs w:val="22"/>
          <w:u w:val="single"/>
          <w:lang w:val="en-US" w:eastAsia="zh-CN"/>
        </w:rPr>
        <w:t>缓冲</w:t>
      </w:r>
      <w:r>
        <w:rPr>
          <w:rFonts w:hint="default" w:ascii="Times New Roman" w:hAnsi="Times New Roman" w:cs="Times New Roman"/>
          <w:szCs w:val="22"/>
          <w:u w:val="single"/>
          <w:lang w:val="en-US" w:eastAsia="zh-CN"/>
        </w:rPr>
        <w:t>车</w:t>
      </w:r>
      <w:r>
        <w:rPr>
          <w:rFonts w:hint="default" w:ascii="Times New Roman" w:hAnsi="Times New Roman" w:cs="Times New Roman"/>
          <w:szCs w:val="22"/>
          <w:u w:val="single"/>
        </w:rPr>
        <w:t>采购项目</w:t>
      </w:r>
      <w:r>
        <w:rPr>
          <w:rFonts w:hint="eastAsia" w:ascii="Times New Roman" w:hAnsi="Times New Roman" w:cs="Times New Roman"/>
          <w:szCs w:val="22"/>
          <w:u w:val="single"/>
          <w:lang w:eastAsia="zh-CN"/>
        </w:rPr>
        <w:t>（</w:t>
      </w:r>
      <w:r>
        <w:rPr>
          <w:rFonts w:hint="eastAsia" w:ascii="Times New Roman" w:hAnsi="Times New Roman" w:cs="Times New Roman"/>
          <w:szCs w:val="22"/>
          <w:u w:val="single"/>
          <w:lang w:val="en-US" w:eastAsia="zh-CN"/>
        </w:rPr>
        <w:t>二次</w:t>
      </w:r>
      <w:r>
        <w:rPr>
          <w:rFonts w:hint="eastAsia" w:ascii="Times New Roman" w:hAnsi="Times New Roman" w:cs="Times New Roman"/>
          <w:szCs w:val="22"/>
          <w:u w:val="single"/>
          <w:lang w:eastAsia="zh-CN"/>
        </w:rPr>
        <w:t>）</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zh-CN"/>
        </w:rPr>
        <w:t>保障道路安全畅通、施工作业安全</w:t>
      </w:r>
    </w:p>
    <w:p w14:paraId="0751826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23266_WPSOffice_Level2"/>
      <w:bookmarkStart w:id="10" w:name="_Toc18453"/>
      <w:bookmarkStart w:id="11" w:name="_Toc18367_WPSOffice_Level2"/>
      <w:bookmarkStart w:id="12" w:name="_Toc10274"/>
      <w:bookmarkStart w:id="13" w:name="_Toc525632586"/>
      <w:bookmarkStart w:id="14" w:name="_Toc17858_WPSOffice_Level2"/>
      <w:bookmarkStart w:id="15" w:name="_Toc8128_WPSOffice_Level2"/>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val="en-US" w:eastAsia="zh-CN"/>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r>
        <w:rPr>
          <w:rFonts w:hint="eastAsia" w:ascii="Times New Roman" w:hAnsi="Times New Roman" w:cs="Times New Roman"/>
          <w:szCs w:val="22"/>
          <w:u w:val="single"/>
          <w:lang w:val="en-US" w:eastAsia="zh-CN"/>
        </w:rPr>
        <w:t xml:space="preserve"> </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购防撞缓冲车1辆</w:t>
      </w:r>
      <w:r>
        <w:rPr>
          <w:rFonts w:hint="eastAsia" w:ascii="Times New Roman" w:hAnsi="Times New Roman" w:cs="Times New Roman"/>
          <w:szCs w:val="22"/>
          <w:highlight w:val="none"/>
          <w:u w:val="single"/>
          <w:lang w:val="en-US" w:eastAsia="zh-CN"/>
        </w:rPr>
        <w:t xml:space="preserve"> </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eastAsia" w:ascii="Times New Roman" w:hAnsi="Times New Roman" w:cs="Times New Roman"/>
          <w:szCs w:val="22"/>
          <w:highlight w:val="none"/>
          <w:u w:val="single"/>
          <w:lang w:val="en-US" w:eastAsia="zh-CN"/>
        </w:rPr>
        <w:t xml:space="preserve"> 1个合同包 </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default" w:ascii="Times New Roman" w:hAnsi="Times New Roman" w:cs="Times New Roman"/>
          <w:szCs w:val="22"/>
          <w:highlight w:val="none"/>
          <w:u w:val="single"/>
          <w:lang w:val="en-US" w:eastAsia="zh-CN"/>
        </w:rPr>
        <w:t>限价</w:t>
      </w:r>
      <w:r>
        <w:rPr>
          <w:rFonts w:hint="eastAsia" w:ascii="Times New Roman" w:hAnsi="Times New Roman" w:cs="Times New Roman"/>
          <w:szCs w:val="22"/>
          <w:highlight w:val="none"/>
          <w:u w:val="single"/>
          <w:lang w:val="en-US" w:eastAsia="zh-CN"/>
        </w:rPr>
        <w:t>35</w:t>
      </w:r>
      <w:r>
        <w:rPr>
          <w:rFonts w:hint="default" w:ascii="Times New Roman" w:hAnsi="Times New Roman" w:cs="Times New Roman"/>
          <w:szCs w:val="22"/>
          <w:highlight w:val="none"/>
          <w:u w:val="single"/>
          <w:lang w:val="en-US" w:eastAsia="zh-CN"/>
        </w:rPr>
        <w:t>万元</w:t>
      </w:r>
      <w:r>
        <w:rPr>
          <w:rFonts w:hint="eastAsia" w:ascii="Times New Roman" w:hAnsi="Times New Roman" w:cs="Times New Roman"/>
          <w:szCs w:val="22"/>
          <w:highlight w:val="none"/>
          <w:u w:val="single"/>
          <w:lang w:val="en-US" w:eastAsia="zh-CN"/>
        </w:rPr>
        <w:t xml:space="preserve"> </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30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r>
        <w:rPr>
          <w:rFonts w:hint="eastAsia" w:ascii="Times New Roman" w:hAnsi="Times New Roman" w:cs="Times New Roman"/>
          <w:szCs w:val="22"/>
          <w:highlight w:val="none"/>
          <w:u w:val="single"/>
          <w:lang w:val="en-US" w:eastAsia="zh-CN"/>
        </w:rPr>
        <w:t xml:space="preserve"> </w:t>
      </w:r>
    </w:p>
    <w:p w14:paraId="5253CFF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31673_WPSOffice_Level2"/>
      <w:bookmarkStart w:id="20" w:name="_Toc3714"/>
      <w:bookmarkStart w:id="21" w:name="_Toc22379_WPSOffice_Level2"/>
      <w:bookmarkStart w:id="22" w:name="_Toc29516_WPSOffice_Level2"/>
      <w:bookmarkStart w:id="23" w:name="_Toc6388"/>
      <w:bookmarkStart w:id="24" w:name="_Toc525632587"/>
      <w:bookmarkStart w:id="25" w:name="_Toc1622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②供应商应为本次采购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r>
        <w:rPr>
          <w:rFonts w:hint="default"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业绩最低要求：</w:t>
      </w:r>
    </w:p>
    <w:p w14:paraId="3430E03C">
      <w:pPr>
        <w:pStyle w:val="9"/>
        <w:numPr>
          <w:ilvl w:val="0"/>
          <w:numId w:val="0"/>
        </w:numPr>
        <w:rPr>
          <w:rFonts w:hint="default"/>
        </w:rPr>
      </w:pPr>
    </w:p>
    <w:p w14:paraId="1EBF474A">
      <w:pPr>
        <w:pStyle w:val="9"/>
        <w:rPr>
          <w:rFonts w:hint="default" w:ascii="Times New Roman" w:hAnsi="Times New Roman" w:cs="Times New Roman"/>
          <w:szCs w:val="22"/>
          <w:lang w:val="en-US" w:eastAsia="zh-CN"/>
        </w:rPr>
      </w:pP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w:t>
      </w:r>
      <w:r>
        <w:rPr>
          <w:rFonts w:hint="eastAsia" w:ascii="Times New Roman" w:hAnsi="Times New Roman" w:cs="Times New Roman"/>
          <w:szCs w:val="22"/>
          <w:lang w:val="en-US" w:eastAsia="zh-CN"/>
        </w:rPr>
        <w:t>8</w:t>
      </w:r>
      <w:r>
        <w:rPr>
          <w:rFonts w:hint="default" w:ascii="Times New Roman" w:hAnsi="Times New Roman" w:cs="Times New Roman"/>
          <w:szCs w:val="22"/>
        </w:rPr>
        <w:t>月</w:t>
      </w:r>
      <w:r>
        <w:rPr>
          <w:rFonts w:hint="eastAsia" w:ascii="Times New Roman" w:hAnsi="Times New Roman" w:cs="Times New Roman"/>
          <w:szCs w:val="22"/>
          <w:lang w:val="en-US" w:eastAsia="zh-CN"/>
        </w:rPr>
        <w:t>17</w:t>
      </w:r>
      <w:r>
        <w:rPr>
          <w:rFonts w:hint="default" w:ascii="Times New Roman" w:hAnsi="Times New Roman" w:cs="Times New Roman"/>
          <w:szCs w:val="22"/>
        </w:rPr>
        <w:t>日（以合同签订时间为准）至今，具有本项目</w:t>
      </w:r>
      <w:r>
        <w:rPr>
          <w:rFonts w:hint="default" w:ascii="Times New Roman" w:hAnsi="Times New Roman" w:cs="Times New Roman"/>
          <w:szCs w:val="22"/>
          <w:lang w:val="en-US" w:eastAsia="zh-CN"/>
        </w:rPr>
        <w:t>采购产品</w:t>
      </w:r>
    </w:p>
    <w:p w14:paraId="666DBEE5">
      <w:pPr>
        <w:pStyle w:val="9"/>
        <w:rPr>
          <w:rFonts w:hint="default" w:ascii="Times New Roman" w:hAnsi="Times New Roman" w:cs="Times New Roman"/>
          <w:szCs w:val="22"/>
          <w:lang w:val="en-US" w:eastAsia="zh-CN"/>
        </w:rPr>
      </w:pPr>
    </w:p>
    <w:p w14:paraId="50B47262">
      <w:pPr>
        <w:pStyle w:val="9"/>
        <w:rPr>
          <w:rFonts w:hint="default"/>
          <w:lang w:val="en-US"/>
        </w:rPr>
      </w:pPr>
      <w:r>
        <w:rPr>
          <w:rFonts w:hint="eastAsia" w:ascii="Times New Roman" w:hAnsi="Times New Roman" w:cs="Times New Roman"/>
          <w:szCs w:val="22"/>
          <w:lang w:val="en-US" w:eastAsia="zh-CN"/>
        </w:rPr>
        <w:t>合同金额不少于30万元供货业绩。代理商可使用所代理设备制造商的供货业绩。</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2996_WPSOffice_Level2"/>
      <w:bookmarkStart w:id="27" w:name="_Toc4109_WPSOffice_Level2"/>
      <w:bookmarkStart w:id="28" w:name="_Toc29452_WPSOffice_Level2"/>
      <w:bookmarkStart w:id="29" w:name="_Toc4751"/>
      <w:bookmarkStart w:id="30" w:name="_Toc525632588"/>
      <w:bookmarkStart w:id="31" w:name="_Toc1994"/>
      <w:bookmarkStart w:id="32" w:name="_Toc25666_WPSOffice_Level2"/>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供应商应在递交响应文件的截止时间前登录安徽交运集团网站（http://www.ahjyjt.com.cn/），选择所参加的合同包，自行下载询比文件及相关资料。</w:t>
      </w:r>
    </w:p>
    <w:p w14:paraId="188CD29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525632589"/>
      <w:bookmarkStart w:id="34" w:name="_Toc726"/>
      <w:r>
        <w:rPr>
          <w:rFonts w:hint="default" w:ascii="Times New Roman" w:hAnsi="Times New Roman" w:eastAsia="黑体" w:cs="Times New Roman"/>
          <w:bCs w:val="0"/>
          <w:sz w:val="24"/>
          <w:szCs w:val="24"/>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 xml:space="preserve"> 8 </w:t>
      </w:r>
      <w:r>
        <w:rPr>
          <w:rFonts w:hint="default"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  25  </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 xml:space="preserve"> 10  </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lang w:val="en-US" w:eastAsia="zh-CN"/>
        </w:rPr>
        <w:t>0</w:t>
      </w:r>
      <w:r>
        <w:rPr>
          <w:rFonts w:hint="default" w:ascii="Times New Roman" w:hAnsi="Times New Roman" w:cs="Times New Roman"/>
          <w:szCs w:val="22"/>
          <w:highlight w:val="none"/>
          <w:u w:val="single"/>
        </w:rPr>
        <w:t>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22719"/>
      <w:bookmarkStart w:id="36" w:name="_Toc525632591"/>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月</w:t>
      </w:r>
      <w:r>
        <w:rPr>
          <w:rFonts w:hint="eastAsia" w:ascii="Times New Roman" w:hAnsi="Times New Roman" w:cs="Times New Roman"/>
          <w:highlight w:val="none"/>
          <w:lang w:val="en-US" w:eastAsia="zh-CN"/>
        </w:rPr>
        <w:t>24</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1"/>
          <w:rFonts w:hint="default" w:ascii="Times New Roman" w:hAnsi="Times New Roman" w:cs="Times New Roman"/>
          <w:szCs w:val="22"/>
          <w:highlight w:val="none"/>
        </w:rPr>
        <w:t>ahjyxs@163.com</w:t>
      </w:r>
      <w:r>
        <w:rPr>
          <w:rStyle w:val="21"/>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14943_WPSOffice_Level2"/>
      <w:bookmarkStart w:id="38" w:name="_Toc20572_WPSOffice_Level2"/>
      <w:bookmarkStart w:id="39" w:name="_Toc525632592"/>
      <w:bookmarkStart w:id="40" w:name="_Toc321_WPSOffice_Level2"/>
      <w:bookmarkStart w:id="41" w:name="_Toc28571_WPSOffice_Level2"/>
      <w:bookmarkStart w:id="42" w:name="_Toc8501"/>
      <w:bookmarkStart w:id="43" w:name="_Toc26829"/>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1"/>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1"/>
          <w:rFonts w:hint="default" w:ascii="Times New Roman" w:hAnsi="Times New Roman" w:cs="Times New Roman"/>
          <w:szCs w:val="22"/>
        </w:rPr>
        <w:t>ahjyxs@163.com</w:t>
      </w:r>
      <w:r>
        <w:rPr>
          <w:rStyle w:val="21"/>
          <w:rFonts w:hint="default" w:ascii="Times New Roman" w:hAnsi="Times New Roman" w:cs="Times New Roman"/>
          <w:szCs w:val="22"/>
        </w:rPr>
        <w:fldChar w:fldCharType="end"/>
      </w:r>
    </w:p>
    <w:p w14:paraId="42758477">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eastAsia" w:ascii="Times New Roman" w:hAnsi="Times New Roman" w:cs="Times New Roman"/>
          <w:color w:val="auto"/>
          <w:sz w:val="21"/>
          <w:szCs w:val="22"/>
          <w:highlight w:val="none"/>
          <w:lang w:val="en-US" w:eastAsia="zh-CN"/>
        </w:rPr>
        <w:t xml:space="preserve">  </w:t>
      </w: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eastAsia" w:ascii="Times New Roman" w:hAnsi="Times New Roman" w:cs="Times New Roman"/>
          <w:color w:val="auto"/>
          <w:sz w:val="21"/>
          <w:szCs w:val="22"/>
          <w:highlight w:val="none"/>
          <w:lang w:val="en-US" w:eastAsia="zh-CN"/>
        </w:rPr>
        <w:t>8</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17</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5"/>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5"/>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1"/>
                <w:rFonts w:hint="default" w:ascii="Times New Roman" w:hAnsi="Times New Roman" w:eastAsia="宋体" w:cs="Times New Roman"/>
                <w:szCs w:val="21"/>
                <w:highlight w:val="green"/>
              </w:rPr>
              <w:t>ahjyxs@163.com</w:t>
            </w:r>
            <w:r>
              <w:rPr>
                <w:rStyle w:val="21"/>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5"/>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5"/>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2"/>
              <w:numPr>
                <w:ilvl w:val="0"/>
                <w:numId w:val="0"/>
              </w:numPr>
              <w:ind w:left="417" w:leftChars="0"/>
              <w:rPr>
                <w:rFonts w:hint="default" w:ascii="Times New Roman" w:hAnsi="Times New Roman" w:cs="Times New Roman"/>
              </w:rPr>
            </w:pPr>
          </w:p>
          <w:p w14:paraId="00C881D4">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8"/>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2"/>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3"/>
        <w:jc w:val="center"/>
        <w:rPr>
          <w:rFonts w:hint="default" w:ascii="Times New Roman" w:hAnsi="Times New Roman" w:cs="Times New Roman"/>
          <w:color w:val="auto"/>
          <w:sz w:val="21"/>
          <w:szCs w:val="22"/>
          <w:highlight w:val="none"/>
        </w:rPr>
      </w:pPr>
    </w:p>
    <w:p w14:paraId="491D93F6">
      <w:pPr>
        <w:pStyle w:val="23"/>
        <w:jc w:val="center"/>
        <w:rPr>
          <w:rFonts w:hint="default" w:ascii="Times New Roman" w:hAnsi="Times New Roman" w:cs="Times New Roman"/>
          <w:color w:val="auto"/>
          <w:sz w:val="21"/>
          <w:szCs w:val="22"/>
        </w:rPr>
      </w:pPr>
    </w:p>
    <w:p w14:paraId="413E5059">
      <w:pPr>
        <w:pStyle w:val="23"/>
        <w:jc w:val="center"/>
        <w:rPr>
          <w:rFonts w:hint="default" w:ascii="Times New Roman" w:hAnsi="Times New Roman" w:cs="Times New Roman"/>
          <w:color w:val="auto"/>
          <w:sz w:val="21"/>
          <w:szCs w:val="22"/>
        </w:rPr>
      </w:pPr>
    </w:p>
    <w:p w14:paraId="316AFFF3">
      <w:pPr>
        <w:pStyle w:val="23"/>
        <w:jc w:val="center"/>
        <w:rPr>
          <w:rFonts w:hint="default" w:ascii="Times New Roman" w:hAnsi="Times New Roman" w:cs="Times New Roman"/>
          <w:color w:val="auto"/>
          <w:sz w:val="21"/>
          <w:szCs w:val="22"/>
        </w:rPr>
      </w:pPr>
    </w:p>
    <w:p w14:paraId="3A5BF521">
      <w:pPr>
        <w:pStyle w:val="23"/>
        <w:jc w:val="center"/>
        <w:rPr>
          <w:rFonts w:hint="default" w:ascii="Times New Roman" w:hAnsi="Times New Roman" w:cs="Times New Roman"/>
          <w:color w:val="auto"/>
          <w:sz w:val="21"/>
          <w:szCs w:val="22"/>
        </w:rPr>
      </w:pPr>
    </w:p>
    <w:p w14:paraId="1E0D50C1">
      <w:pPr>
        <w:pStyle w:val="23"/>
        <w:jc w:val="center"/>
        <w:rPr>
          <w:rFonts w:hint="default" w:ascii="Times New Roman" w:hAnsi="Times New Roman" w:cs="Times New Roman"/>
          <w:color w:val="auto"/>
          <w:sz w:val="21"/>
          <w:szCs w:val="22"/>
        </w:rPr>
      </w:pPr>
    </w:p>
    <w:p w14:paraId="19B920FD">
      <w:pPr>
        <w:pStyle w:val="23"/>
        <w:jc w:val="center"/>
        <w:rPr>
          <w:rFonts w:hint="default" w:ascii="Times New Roman" w:hAnsi="Times New Roman" w:cs="Times New Roman"/>
          <w:color w:val="auto"/>
          <w:sz w:val="21"/>
          <w:szCs w:val="22"/>
        </w:rPr>
      </w:pPr>
    </w:p>
    <w:p w14:paraId="4BF3D517">
      <w:pPr>
        <w:pStyle w:val="23"/>
        <w:jc w:val="center"/>
        <w:rPr>
          <w:rFonts w:hint="default" w:ascii="Times New Roman" w:hAnsi="Times New Roman" w:cs="Times New Roman"/>
          <w:color w:val="auto"/>
          <w:sz w:val="21"/>
          <w:szCs w:val="22"/>
        </w:rPr>
      </w:pPr>
    </w:p>
    <w:p w14:paraId="5526DFA4">
      <w:pPr>
        <w:pStyle w:val="23"/>
        <w:jc w:val="center"/>
        <w:rPr>
          <w:rFonts w:hint="default" w:ascii="Times New Roman" w:hAnsi="Times New Roman" w:cs="Times New Roman"/>
          <w:color w:val="auto"/>
          <w:sz w:val="21"/>
          <w:szCs w:val="22"/>
        </w:rPr>
      </w:pPr>
    </w:p>
    <w:p w14:paraId="1D6A5CD6">
      <w:pPr>
        <w:pStyle w:val="23"/>
        <w:jc w:val="center"/>
        <w:rPr>
          <w:rFonts w:hint="default" w:ascii="Times New Roman" w:hAnsi="Times New Roman" w:cs="Times New Roman"/>
          <w:color w:val="auto"/>
          <w:sz w:val="21"/>
          <w:szCs w:val="22"/>
        </w:rPr>
      </w:pPr>
    </w:p>
    <w:p w14:paraId="7911CB3A">
      <w:pPr>
        <w:pStyle w:val="23"/>
        <w:jc w:val="center"/>
        <w:rPr>
          <w:rFonts w:hint="default" w:ascii="Times New Roman" w:hAnsi="Times New Roman" w:cs="Times New Roman"/>
          <w:color w:val="auto"/>
          <w:sz w:val="21"/>
          <w:szCs w:val="22"/>
        </w:rPr>
      </w:pPr>
    </w:p>
    <w:p w14:paraId="0DF60F22">
      <w:pPr>
        <w:pStyle w:val="23"/>
        <w:jc w:val="center"/>
        <w:rPr>
          <w:rFonts w:hint="default" w:ascii="Times New Roman" w:hAnsi="Times New Roman" w:cs="Times New Roman"/>
          <w:color w:val="auto"/>
          <w:sz w:val="21"/>
          <w:szCs w:val="22"/>
        </w:rPr>
      </w:pPr>
    </w:p>
    <w:p w14:paraId="412983A1">
      <w:pPr>
        <w:pStyle w:val="23"/>
        <w:jc w:val="center"/>
        <w:rPr>
          <w:rFonts w:hint="default" w:ascii="Times New Roman" w:hAnsi="Times New Roman" w:cs="Times New Roman"/>
          <w:color w:val="auto"/>
          <w:sz w:val="21"/>
          <w:szCs w:val="22"/>
        </w:rPr>
      </w:pPr>
    </w:p>
    <w:p w14:paraId="4780ABB5">
      <w:pPr>
        <w:pStyle w:val="23"/>
        <w:jc w:val="center"/>
        <w:rPr>
          <w:rFonts w:hint="default" w:ascii="Times New Roman" w:hAnsi="Times New Roman" w:cs="Times New Roman"/>
          <w:color w:val="auto"/>
          <w:sz w:val="21"/>
          <w:szCs w:val="22"/>
        </w:rPr>
      </w:pPr>
    </w:p>
    <w:p w14:paraId="4862827F">
      <w:pPr>
        <w:pStyle w:val="23"/>
        <w:jc w:val="center"/>
        <w:rPr>
          <w:rFonts w:hint="default" w:ascii="Times New Roman" w:hAnsi="Times New Roman" w:cs="Times New Roman"/>
          <w:color w:val="auto"/>
          <w:sz w:val="21"/>
          <w:szCs w:val="22"/>
        </w:rPr>
      </w:pPr>
    </w:p>
    <w:p w14:paraId="1BE09B82">
      <w:pPr>
        <w:pStyle w:val="23"/>
        <w:jc w:val="both"/>
        <w:rPr>
          <w:rFonts w:hint="default" w:ascii="Times New Roman" w:hAnsi="Times New Roman" w:cs="Times New Roman"/>
          <w:color w:val="auto"/>
          <w:sz w:val="21"/>
          <w:szCs w:val="22"/>
        </w:rPr>
      </w:pPr>
    </w:p>
    <w:p w14:paraId="197020DC">
      <w:pPr>
        <w:pStyle w:val="23"/>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2个包</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26656960"/>
      <w:bookmarkStart w:id="45" w:name="_Toc14201229"/>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14201230"/>
      <w:bookmarkStart w:id="47" w:name="_Toc26656961"/>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14201241"/>
      <w:bookmarkStart w:id="51" w:name="_Toc26656972"/>
      <w:bookmarkStart w:id="52" w:name="_Toc9067725"/>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14201242"/>
      <w:bookmarkStart w:id="54" w:name="_Toc26656973"/>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26656975"/>
      <w:bookmarkStart w:id="56" w:name="_Toc14201244"/>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26656976"/>
      <w:bookmarkStart w:id="58" w:name="_Toc14201245"/>
      <w:bookmarkStart w:id="59" w:name="_Toc906772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26656977"/>
      <w:bookmarkStart w:id="61" w:name="_Toc14201246"/>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14201247"/>
      <w:bookmarkStart w:id="63" w:name="_Toc26656978"/>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26656984"/>
      <w:bookmarkStart w:id="67" w:name="_Toc14201253"/>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14201257"/>
      <w:bookmarkStart w:id="69" w:name="_Toc9067727"/>
      <w:bookmarkStart w:id="70" w:name="_Toc26656988"/>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14201262"/>
      <w:bookmarkStart w:id="72" w:name="_Toc26656993"/>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9067731"/>
      <w:bookmarkStart w:id="75" w:name="_Toc26656994"/>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3"/>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2个</w:t>
            </w:r>
            <w:r>
              <w:rPr>
                <w:rFonts w:hint="default"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5"/>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1"/>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22A99DA3">
            <w:pPr>
              <w:pStyle w:val="5"/>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3"/>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eastAsia" w:ascii="Times New Roman" w:hAnsi="Times New Roman" w:cs="Times New Roman"/>
          <w:szCs w:val="21"/>
          <w:highlight w:val="none"/>
          <w:u w:val="single"/>
          <w:lang w:val="en-US" w:eastAsia="zh-CN"/>
        </w:rPr>
        <w:t>30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6.1所购车辆送到询价单位指定交付地点经验收合格并开具机动车销售增值税专用发票，车辆交接验收完成后</w:t>
      </w:r>
      <w:r>
        <w:rPr>
          <w:rFonts w:hint="default" w:ascii="Times New Roman" w:hAnsi="Times New Roman" w:cs="Times New Roman"/>
          <w:szCs w:val="21"/>
          <w:lang w:val="en-US" w:eastAsia="zh-CN"/>
        </w:rPr>
        <w:t>30</w:t>
      </w:r>
      <w:r>
        <w:rPr>
          <w:rFonts w:hint="default" w:ascii="Times New Roman" w:hAnsi="Times New Roman" w:cs="Times New Roman"/>
          <w:szCs w:val="21"/>
        </w:rPr>
        <w:t>个工作日内，甲方财务部门以对公转账形式支付合同金额的9</w:t>
      </w:r>
      <w:r>
        <w:rPr>
          <w:rFonts w:hint="default" w:ascii="Times New Roman" w:hAnsi="Times New Roman" w:cs="Times New Roman"/>
          <w:szCs w:val="21"/>
          <w:lang w:val="en-US" w:eastAsia="zh-CN"/>
        </w:rPr>
        <w:t>5</w:t>
      </w:r>
      <w:r>
        <w:rPr>
          <w:rFonts w:hint="default" w:ascii="Times New Roman" w:hAnsi="Times New Roman" w:cs="Times New Roman"/>
          <w:szCs w:val="21"/>
        </w:rPr>
        <w:t>%，余下</w:t>
      </w:r>
      <w:r>
        <w:rPr>
          <w:rFonts w:hint="default" w:ascii="Times New Roman" w:hAnsi="Times New Roman" w:cs="Times New Roman"/>
          <w:szCs w:val="21"/>
          <w:lang w:val="en-US" w:eastAsia="zh-CN"/>
        </w:rPr>
        <w:t>5</w:t>
      </w:r>
      <w:r>
        <w:rPr>
          <w:rFonts w:hint="default" w:ascii="Times New Roman" w:hAnsi="Times New Roman" w:cs="Times New Roman"/>
          <w:szCs w:val="21"/>
        </w:rPr>
        <w:t>%作为质保金。质保金期限（</w:t>
      </w:r>
      <w:r>
        <w:rPr>
          <w:rFonts w:hint="default" w:ascii="Times New Roman" w:hAnsi="Times New Roman" w:cs="Times New Roman"/>
          <w:szCs w:val="21"/>
          <w:lang w:val="en-US" w:eastAsia="zh-CN"/>
        </w:rPr>
        <w:t>24</w:t>
      </w:r>
      <w:r>
        <w:rPr>
          <w:rFonts w:hint="default" w:ascii="Times New Roman" w:hAnsi="Times New Roman" w:cs="Times New Roman"/>
          <w:szCs w:val="21"/>
        </w:rPr>
        <w:t>个月），质保期内如发生质量问题（非买方原因），乙方需及时负责返修，否则甲方有权委托</w:t>
      </w:r>
      <w:r>
        <w:rPr>
          <w:rFonts w:hint="default" w:ascii="Times New Roman" w:hAnsi="Times New Roman" w:cs="Times New Roman"/>
          <w:szCs w:val="21"/>
          <w:lang w:eastAsia="zh-CN"/>
        </w:rPr>
        <w:t>其他</w:t>
      </w:r>
      <w:r>
        <w:rPr>
          <w:rFonts w:hint="default" w:ascii="Times New Roman" w:hAnsi="Times New Roman" w:cs="Times New Roman"/>
          <w:szCs w:val="21"/>
        </w:rPr>
        <w:t>单位维修，费用从质保金中扣除，在质保期满后（</w:t>
      </w:r>
      <w:r>
        <w:rPr>
          <w:rFonts w:hint="default" w:ascii="Times New Roman" w:hAnsi="Times New Roman" w:cs="Times New Roman"/>
          <w:szCs w:val="21"/>
          <w:lang w:val="en-US" w:eastAsia="zh-CN"/>
        </w:rPr>
        <w:t>24</w:t>
      </w:r>
      <w:r>
        <w:rPr>
          <w:rFonts w:hint="default" w:ascii="Times New Roman" w:hAnsi="Times New Roman" w:cs="Times New Roman"/>
          <w:szCs w:val="21"/>
        </w:rPr>
        <w:t>个月）甲方将剩余的保留金无息退还给乙方。</w:t>
      </w: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5"/>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2"/>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3"/>
        <w:numPr>
          <w:ilvl w:val="0"/>
          <w:numId w:val="5"/>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2B034C86">
      <w:pPr>
        <w:rPr>
          <w:rFonts w:hint="eastAsia" w:ascii="Times New Roman" w:hAnsi="Times New Roman" w:eastAsia="宋体" w:cs="Times New Roman"/>
          <w:b/>
          <w:bCs w:val="0"/>
          <w:color w:val="auto"/>
          <w:kern w:val="0"/>
          <w:sz w:val="21"/>
          <w:szCs w:val="21"/>
          <w:highlight w:val="none"/>
          <w:lang w:val="en-US" w:eastAsia="zh-CN"/>
        </w:rPr>
      </w:pPr>
      <w:bookmarkStart w:id="79" w:name="_Toc101186772"/>
      <w:bookmarkStart w:id="80" w:name="_Toc9834_WPSOffice_Level1"/>
    </w:p>
    <w:p w14:paraId="710FAA4B">
      <w:pPr>
        <w:rPr>
          <w:rFonts w:hint="eastAsia" w:ascii="Times New Roman" w:hAnsi="Times New Roman" w:eastAsia="宋体" w:cs="Times New Roman"/>
          <w:b/>
          <w:bCs w:val="0"/>
          <w:color w:val="auto"/>
          <w:kern w:val="0"/>
          <w:sz w:val="21"/>
          <w:szCs w:val="21"/>
          <w:highlight w:val="none"/>
          <w:lang w:val="en-US" w:eastAsia="zh-CN"/>
        </w:rPr>
      </w:pPr>
    </w:p>
    <w:p w14:paraId="32604531">
      <w:pPr>
        <w:spacing w:line="240" w:lineRule="auto"/>
        <w:rPr>
          <w:rFonts w:hint="default" w:ascii="Times New Roman" w:hAnsi="Times New Roman" w:eastAsia="宋体" w:cs="Times New Roman"/>
          <w:b/>
          <w:bCs/>
          <w:color w:val="000000"/>
          <w:kern w:val="0"/>
          <w:sz w:val="21"/>
          <w:szCs w:val="21"/>
          <w:lang w:val="en-US" w:eastAsia="zh-CN" w:bidi="ar"/>
        </w:rPr>
      </w:pPr>
    </w:p>
    <w:p w14:paraId="490A3E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防撞缓冲车技术性能指标要求</w:t>
      </w:r>
    </w:p>
    <w:p w14:paraId="70A76F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说明：1、发动机、变速箱、底盘、轮胎为关键构件；</w:t>
      </w:r>
    </w:p>
    <w:p w14:paraId="4135C81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15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2、所投产品中车辆应为经过国家行业主管部门认证的定型产品，且列入《中华人民共和国发改委车辆生产企业及产品公告》；</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w:t>
      </w:r>
    </w:p>
    <w:p w14:paraId="07D142D4">
      <w:pPr>
        <w:autoSpaceDE w:val="0"/>
        <w:spacing w:line="360" w:lineRule="auto"/>
        <w:jc w:val="center"/>
        <w:outlineLvl w:val="0"/>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防撞缓冲车技术性能指标一览表</w:t>
      </w:r>
    </w:p>
    <w:p w14:paraId="1BA42A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tbl>
      <w:tblPr>
        <w:tblStyle w:val="15"/>
        <w:tblW w:w="94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3600"/>
        <w:gridCol w:w="4561"/>
      </w:tblGrid>
      <w:tr w14:paraId="44E06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9B3E749">
            <w:pPr>
              <w:widowControl/>
              <w:tabs>
                <w:tab w:val="center" w:pos="4153"/>
                <w:tab w:val="right" w:pos="8306"/>
              </w:tabs>
              <w:spacing w:before="100" w:beforeAutospacing="1" w:after="100" w:afterAutospacing="1" w:line="500" w:lineRule="exact"/>
              <w:jc w:val="both"/>
              <w:rPr>
                <w:rFonts w:hint="eastAsia" w:ascii="Calibri" w:hAnsi="Calibri" w:eastAsia="宋体" w:cs="Times New Roman"/>
                <w:sz w:val="21"/>
                <w:szCs w:val="21"/>
                <w:lang w:val="en-US" w:eastAsia="zh-CN"/>
              </w:rPr>
            </w:pPr>
          </w:p>
        </w:tc>
        <w:tc>
          <w:tcPr>
            <w:tcW w:w="3600" w:type="dxa"/>
            <w:noWrap w:val="0"/>
            <w:vAlign w:val="center"/>
          </w:tcPr>
          <w:p w14:paraId="4768646E">
            <w:pPr>
              <w:widowControl/>
              <w:tabs>
                <w:tab w:val="center" w:pos="4153"/>
                <w:tab w:val="right" w:pos="8306"/>
              </w:tabs>
              <w:spacing w:before="100" w:beforeAutospacing="1" w:after="100" w:afterAutospacing="1" w:line="500" w:lineRule="exact"/>
              <w:jc w:val="center"/>
              <w:rPr>
                <w:rFonts w:hint="eastAsia" w:ascii="宋体" w:hAnsi="宋体" w:eastAsia="宋体" w:cs="宋体"/>
                <w:kern w:val="2"/>
                <w:sz w:val="21"/>
                <w:szCs w:val="21"/>
                <w:lang w:val="en-US" w:eastAsia="zh-CN" w:bidi="zh-CN"/>
              </w:rPr>
            </w:pPr>
            <w:r>
              <w:rPr>
                <w:rFonts w:hint="eastAsia" w:ascii="宋体" w:hAnsi="宋体" w:eastAsia="宋体" w:cs="宋体"/>
                <w:b/>
                <w:kern w:val="0"/>
                <w:sz w:val="21"/>
                <w:szCs w:val="21"/>
                <w:lang w:val="en-US" w:eastAsia="zh-CN" w:bidi="ar-SA"/>
              </w:rPr>
              <w:t>防撞车</w:t>
            </w:r>
          </w:p>
        </w:tc>
        <w:tc>
          <w:tcPr>
            <w:tcW w:w="4561" w:type="dxa"/>
            <w:noWrap w:val="0"/>
            <w:vAlign w:val="center"/>
          </w:tcPr>
          <w:p w14:paraId="3A85825D">
            <w:pPr>
              <w:widowControl/>
              <w:tabs>
                <w:tab w:val="center" w:pos="4153"/>
                <w:tab w:val="right" w:pos="8306"/>
              </w:tabs>
              <w:spacing w:before="100" w:beforeAutospacing="1" w:after="100" w:afterAutospacing="1" w:line="500" w:lineRule="exact"/>
              <w:ind w:firstLine="420" w:firstLineChars="200"/>
              <w:jc w:val="center"/>
              <w:rPr>
                <w:rFonts w:hint="eastAsia" w:ascii="宋体" w:hAnsi="宋体" w:eastAsia="宋体" w:cs="宋体"/>
                <w:kern w:val="2"/>
                <w:sz w:val="21"/>
                <w:szCs w:val="21"/>
                <w:lang w:val="en-US" w:eastAsia="zh-CN" w:bidi="zh-CN"/>
              </w:rPr>
            </w:pPr>
          </w:p>
        </w:tc>
      </w:tr>
      <w:tr w14:paraId="3CDDA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79081105">
            <w:pPr>
              <w:widowControl/>
              <w:tabs>
                <w:tab w:val="center" w:pos="4153"/>
                <w:tab w:val="right" w:pos="8306"/>
              </w:tabs>
              <w:spacing w:before="100" w:beforeAutospacing="1" w:after="100" w:afterAutospacing="1" w:line="500" w:lineRule="exact"/>
              <w:jc w:val="center"/>
              <w:rPr>
                <w:rFonts w:hint="default"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w:t>
            </w:r>
          </w:p>
        </w:tc>
        <w:tc>
          <w:tcPr>
            <w:tcW w:w="3600" w:type="dxa"/>
            <w:noWrap w:val="0"/>
            <w:vAlign w:val="center"/>
          </w:tcPr>
          <w:p w14:paraId="241F6DC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整车</w:t>
            </w:r>
          </w:p>
        </w:tc>
        <w:tc>
          <w:tcPr>
            <w:tcW w:w="4561" w:type="dxa"/>
            <w:noWrap w:val="0"/>
            <w:vAlign w:val="center"/>
          </w:tcPr>
          <w:p w14:paraId="179D57B9">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投标车辆符合国家《机动车运行安全技术条件》，产品为国家发改委或工业和信息化部《车辆生产企业及产品公告》产品。产品具有3C认证。车辆颜色为工程黄色。</w:t>
            </w:r>
          </w:p>
        </w:tc>
      </w:tr>
      <w:tr w14:paraId="3CF9F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A91D87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w:t>
            </w:r>
          </w:p>
        </w:tc>
        <w:tc>
          <w:tcPr>
            <w:tcW w:w="3600" w:type="dxa"/>
            <w:noWrap w:val="0"/>
            <w:vAlign w:val="center"/>
          </w:tcPr>
          <w:p w14:paraId="034EDC6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*底盘</w:t>
            </w:r>
          </w:p>
        </w:tc>
        <w:tc>
          <w:tcPr>
            <w:tcW w:w="4561" w:type="dxa"/>
            <w:noWrap w:val="0"/>
            <w:vAlign w:val="center"/>
          </w:tcPr>
          <w:p w14:paraId="2AE3F70E">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采用江淮、东风或同档次及以上底盘。</w:t>
            </w:r>
          </w:p>
          <w:p w14:paraId="1D75AF1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应采用排半驾驶室、配有冷暖空调、多功能方向盘、ABS刹车。</w:t>
            </w:r>
          </w:p>
        </w:tc>
      </w:tr>
      <w:tr w14:paraId="3788F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744E7E06">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3.</w:t>
            </w:r>
          </w:p>
        </w:tc>
        <w:tc>
          <w:tcPr>
            <w:tcW w:w="3600" w:type="dxa"/>
            <w:noWrap w:val="0"/>
            <w:vAlign w:val="center"/>
          </w:tcPr>
          <w:p w14:paraId="1FD995E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发动机排量</w:t>
            </w:r>
          </w:p>
        </w:tc>
        <w:tc>
          <w:tcPr>
            <w:tcW w:w="4561" w:type="dxa"/>
            <w:noWrap w:val="0"/>
            <w:vAlign w:val="center"/>
          </w:tcPr>
          <w:p w14:paraId="0D968B4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w:t>
            </w:r>
            <w:r>
              <w:rPr>
                <w:rFonts w:hint="default" w:ascii="宋体" w:hAnsi="宋体" w:eastAsia="宋体" w:cs="Times New Roman"/>
                <w:color w:val="000000"/>
                <w:kern w:val="0"/>
                <w:lang w:val="en-US"/>
              </w:rPr>
              <w:t>2.5</w:t>
            </w:r>
            <w:r>
              <w:rPr>
                <w:rFonts w:hint="eastAsia" w:ascii="宋体" w:hAnsi="宋体" w:eastAsia="宋体" w:cs="Times New Roman"/>
                <w:color w:val="000000"/>
                <w:kern w:val="0"/>
              </w:rPr>
              <w:t>L</w:t>
            </w:r>
          </w:p>
        </w:tc>
      </w:tr>
      <w:tr w14:paraId="647FD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6665478">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4.</w:t>
            </w:r>
          </w:p>
        </w:tc>
        <w:tc>
          <w:tcPr>
            <w:tcW w:w="3600" w:type="dxa"/>
            <w:noWrap w:val="0"/>
            <w:vAlign w:val="center"/>
          </w:tcPr>
          <w:p w14:paraId="03B43D1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*发动机功率</w:t>
            </w:r>
          </w:p>
        </w:tc>
        <w:tc>
          <w:tcPr>
            <w:tcW w:w="4561" w:type="dxa"/>
            <w:noWrap w:val="0"/>
            <w:vAlign w:val="center"/>
          </w:tcPr>
          <w:p w14:paraId="657F45E1">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w:t>
            </w:r>
            <w:r>
              <w:rPr>
                <w:rFonts w:hint="default" w:ascii="宋体" w:hAnsi="宋体" w:eastAsia="宋体" w:cs="Times New Roman"/>
                <w:color w:val="000000"/>
                <w:kern w:val="0"/>
                <w:lang w:val="en-US"/>
              </w:rPr>
              <w:t>20</w:t>
            </w:r>
            <w:r>
              <w:rPr>
                <w:rFonts w:hint="eastAsia" w:ascii="宋体" w:hAnsi="宋体" w:eastAsia="宋体" w:cs="Times New Roman"/>
                <w:color w:val="000000"/>
                <w:kern w:val="0"/>
              </w:rPr>
              <w:t>kW</w:t>
            </w:r>
          </w:p>
        </w:tc>
      </w:tr>
      <w:tr w14:paraId="01484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581875A">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5.</w:t>
            </w:r>
          </w:p>
        </w:tc>
        <w:tc>
          <w:tcPr>
            <w:tcW w:w="3600" w:type="dxa"/>
            <w:noWrap w:val="0"/>
            <w:vAlign w:val="center"/>
          </w:tcPr>
          <w:p w14:paraId="5FE7C59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燃油类型</w:t>
            </w:r>
          </w:p>
        </w:tc>
        <w:tc>
          <w:tcPr>
            <w:tcW w:w="4561" w:type="dxa"/>
            <w:noWrap w:val="0"/>
            <w:vAlign w:val="center"/>
          </w:tcPr>
          <w:p w14:paraId="3D8070C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柴油</w:t>
            </w:r>
          </w:p>
        </w:tc>
      </w:tr>
      <w:tr w14:paraId="41F0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61B109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6.</w:t>
            </w:r>
          </w:p>
        </w:tc>
        <w:tc>
          <w:tcPr>
            <w:tcW w:w="3600" w:type="dxa"/>
            <w:noWrap w:val="0"/>
            <w:vAlign w:val="center"/>
          </w:tcPr>
          <w:p w14:paraId="65B594A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最高车速</w:t>
            </w:r>
          </w:p>
        </w:tc>
        <w:tc>
          <w:tcPr>
            <w:tcW w:w="4561" w:type="dxa"/>
            <w:noWrap w:val="0"/>
            <w:vAlign w:val="center"/>
          </w:tcPr>
          <w:p w14:paraId="528D090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≥105km/h</w:t>
            </w:r>
          </w:p>
        </w:tc>
      </w:tr>
      <w:tr w14:paraId="353CC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681CCA1">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7.</w:t>
            </w:r>
          </w:p>
        </w:tc>
        <w:tc>
          <w:tcPr>
            <w:tcW w:w="3600" w:type="dxa"/>
            <w:noWrap w:val="0"/>
            <w:vAlign w:val="center"/>
          </w:tcPr>
          <w:p w14:paraId="096CB99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*总质量</w:t>
            </w:r>
          </w:p>
        </w:tc>
        <w:tc>
          <w:tcPr>
            <w:tcW w:w="4561" w:type="dxa"/>
            <w:noWrap w:val="0"/>
            <w:vAlign w:val="center"/>
          </w:tcPr>
          <w:p w14:paraId="2234D8DF">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≥12400kg</w:t>
            </w:r>
          </w:p>
        </w:tc>
      </w:tr>
      <w:tr w14:paraId="1030D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F2CC4DB">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8.</w:t>
            </w:r>
          </w:p>
        </w:tc>
        <w:tc>
          <w:tcPr>
            <w:tcW w:w="3600" w:type="dxa"/>
            <w:noWrap w:val="0"/>
            <w:vAlign w:val="center"/>
          </w:tcPr>
          <w:p w14:paraId="6B07891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*整备质量</w:t>
            </w:r>
          </w:p>
        </w:tc>
        <w:tc>
          <w:tcPr>
            <w:tcW w:w="4561" w:type="dxa"/>
            <w:noWrap w:val="0"/>
            <w:vAlign w:val="center"/>
          </w:tcPr>
          <w:p w14:paraId="4E83B93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≥12000kg</w:t>
            </w:r>
          </w:p>
        </w:tc>
      </w:tr>
      <w:tr w14:paraId="7589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19CFB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9.</w:t>
            </w:r>
          </w:p>
        </w:tc>
        <w:tc>
          <w:tcPr>
            <w:tcW w:w="3600" w:type="dxa"/>
            <w:noWrap w:val="0"/>
            <w:vAlign w:val="center"/>
          </w:tcPr>
          <w:p w14:paraId="33DB3EA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轴距</w:t>
            </w:r>
          </w:p>
        </w:tc>
        <w:tc>
          <w:tcPr>
            <w:tcW w:w="4561" w:type="dxa"/>
            <w:noWrap w:val="0"/>
            <w:vAlign w:val="center"/>
          </w:tcPr>
          <w:p w14:paraId="646D932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≥3900mm</w:t>
            </w:r>
          </w:p>
        </w:tc>
      </w:tr>
      <w:tr w14:paraId="3172D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21FB53F">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10.</w:t>
            </w:r>
          </w:p>
        </w:tc>
        <w:tc>
          <w:tcPr>
            <w:tcW w:w="3600" w:type="dxa"/>
            <w:noWrap w:val="0"/>
            <w:vAlign w:val="center"/>
          </w:tcPr>
          <w:p w14:paraId="02F0413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*外形尺寸</w:t>
            </w:r>
          </w:p>
        </w:tc>
        <w:tc>
          <w:tcPr>
            <w:tcW w:w="4561" w:type="dxa"/>
            <w:noWrap w:val="0"/>
            <w:vAlign w:val="center"/>
          </w:tcPr>
          <w:p w14:paraId="06AF9F1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≤7500*2550*3200mm</w:t>
            </w:r>
          </w:p>
        </w:tc>
      </w:tr>
      <w:tr w14:paraId="653C1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422F650">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11.</w:t>
            </w:r>
          </w:p>
        </w:tc>
        <w:tc>
          <w:tcPr>
            <w:tcW w:w="3600" w:type="dxa"/>
            <w:noWrap w:val="0"/>
            <w:vAlign w:val="center"/>
          </w:tcPr>
          <w:p w14:paraId="1305646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*预警安全引导装置</w:t>
            </w:r>
          </w:p>
        </w:tc>
        <w:tc>
          <w:tcPr>
            <w:tcW w:w="4561" w:type="dxa"/>
            <w:noWrap w:val="0"/>
            <w:vAlign w:val="center"/>
          </w:tcPr>
          <w:p w14:paraId="44FDAF2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高亮LED显示屏+300W长条警灯</w:t>
            </w:r>
          </w:p>
        </w:tc>
      </w:tr>
      <w:tr w14:paraId="34267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3DE847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3600" w:type="dxa"/>
            <w:noWrap w:val="0"/>
            <w:vAlign w:val="center"/>
          </w:tcPr>
          <w:p w14:paraId="1C18AC6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*照明装备</w:t>
            </w:r>
          </w:p>
        </w:tc>
        <w:tc>
          <w:tcPr>
            <w:tcW w:w="4561" w:type="dxa"/>
            <w:noWrap w:val="0"/>
            <w:vAlign w:val="center"/>
          </w:tcPr>
          <w:p w14:paraId="50927CF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配备高杆照明灯</w:t>
            </w:r>
          </w:p>
        </w:tc>
      </w:tr>
      <w:tr w14:paraId="1747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B69C514">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3600" w:type="dxa"/>
            <w:noWrap w:val="0"/>
            <w:vAlign w:val="center"/>
          </w:tcPr>
          <w:p w14:paraId="5B98316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*防撞缓冲垫外形尺寸</w:t>
            </w:r>
          </w:p>
        </w:tc>
        <w:tc>
          <w:tcPr>
            <w:tcW w:w="4561" w:type="dxa"/>
            <w:noWrap w:val="0"/>
            <w:vAlign w:val="center"/>
          </w:tcPr>
          <w:p w14:paraId="32FB1D6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≥3100*2300*650mm  （不含安装结构）</w:t>
            </w:r>
          </w:p>
        </w:tc>
      </w:tr>
      <w:tr w14:paraId="5FD14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472BDC8">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14.</w:t>
            </w:r>
          </w:p>
        </w:tc>
        <w:tc>
          <w:tcPr>
            <w:tcW w:w="3600" w:type="dxa"/>
            <w:noWrap w:val="0"/>
            <w:vAlign w:val="center"/>
          </w:tcPr>
          <w:p w14:paraId="65EAC4B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*碰撞报告要求</w:t>
            </w:r>
          </w:p>
        </w:tc>
        <w:tc>
          <w:tcPr>
            <w:tcW w:w="4561" w:type="dxa"/>
            <w:noWrap w:val="0"/>
            <w:vAlign w:val="center"/>
          </w:tcPr>
          <w:p w14:paraId="3649463B">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采用产品满足国际测试标准MASH-2016测试要求，即满足以下4种工况，有4项测试报告：</w:t>
            </w:r>
          </w:p>
          <w:p w14:paraId="36A040CB">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50工况：总质量1100kg±50 kg小型车100km/h正撞；</w:t>
            </w:r>
          </w:p>
          <w:p w14:paraId="7B65DFD7">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51工况：总质量2270kg±50 kg小型车100km/h正撞；</w:t>
            </w:r>
          </w:p>
          <w:p w14:paraId="67369F35">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52工况：总质量2270kg±50 kg小型车100km/h偏撞；</w:t>
            </w:r>
          </w:p>
          <w:p w14:paraId="195A316D">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53工况：总质量2270kg±50 kg小型车100km/h偏斜撞。</w:t>
            </w:r>
          </w:p>
          <w:p w14:paraId="3F5E312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（提供国家权威认证的第三方机构出具的测试报告）</w:t>
            </w:r>
          </w:p>
        </w:tc>
      </w:tr>
      <w:tr w14:paraId="3FC1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7FE2DD6">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15.</w:t>
            </w:r>
          </w:p>
        </w:tc>
        <w:tc>
          <w:tcPr>
            <w:tcW w:w="3600" w:type="dxa"/>
            <w:noWrap w:val="0"/>
            <w:vAlign w:val="center"/>
          </w:tcPr>
          <w:p w14:paraId="40FFE53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*核心吸能材质</w:t>
            </w:r>
          </w:p>
        </w:tc>
        <w:tc>
          <w:tcPr>
            <w:tcW w:w="4561" w:type="dxa"/>
            <w:noWrap w:val="0"/>
            <w:vAlign w:val="center"/>
          </w:tcPr>
          <w:p w14:paraId="2DCAE62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中间填充材料须为航空军工级吸能铝蜂窝；（提供国家权威认证的第三方机构出具的材料检测报告、防撞缓冲垫剖解图，杜绝采用纸质蜂窝铝或建筑蜂窝铝板材）</w:t>
            </w:r>
          </w:p>
        </w:tc>
      </w:tr>
      <w:tr w14:paraId="41FA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3C7931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16.</w:t>
            </w:r>
          </w:p>
        </w:tc>
        <w:tc>
          <w:tcPr>
            <w:tcW w:w="3600" w:type="dxa"/>
            <w:noWrap w:val="0"/>
            <w:vAlign w:val="center"/>
          </w:tcPr>
          <w:p w14:paraId="67E82F9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*核心吸能材质检测</w:t>
            </w:r>
          </w:p>
        </w:tc>
        <w:tc>
          <w:tcPr>
            <w:tcW w:w="4561" w:type="dxa"/>
            <w:noWrap w:val="0"/>
            <w:vAlign w:val="center"/>
          </w:tcPr>
          <w:p w14:paraId="417B5B7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防撞缓冲垫吸能元件（铝蜂窝）有多项间接性寿命周期测试检测报告≥3项有效的检测报告。（需提供国家权威认证的第三方机构出具的检测报告）</w:t>
            </w:r>
          </w:p>
        </w:tc>
      </w:tr>
      <w:tr w14:paraId="4BA92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4B99DC1">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17.</w:t>
            </w:r>
          </w:p>
        </w:tc>
        <w:tc>
          <w:tcPr>
            <w:tcW w:w="3600" w:type="dxa"/>
            <w:noWrap w:val="0"/>
            <w:vAlign w:val="center"/>
          </w:tcPr>
          <w:p w14:paraId="696F67AC">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*结构形式</w:t>
            </w:r>
          </w:p>
        </w:tc>
        <w:tc>
          <w:tcPr>
            <w:tcW w:w="4561" w:type="dxa"/>
            <w:noWrap w:val="0"/>
            <w:vAlign w:val="center"/>
          </w:tcPr>
          <w:p w14:paraId="1221540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防撞缓冲垫需采用一体式吸能结构，同时防撞缓冲垫两侧具有凹型波纹导向加强设计，防止后车撞击时出现骑爬或钻入前车底部风险（提供防撞缓冲垫实物照片）。</w:t>
            </w:r>
          </w:p>
        </w:tc>
      </w:tr>
      <w:tr w14:paraId="69478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79E1370">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18.</w:t>
            </w:r>
          </w:p>
        </w:tc>
        <w:tc>
          <w:tcPr>
            <w:tcW w:w="3600" w:type="dxa"/>
            <w:noWrap w:val="0"/>
            <w:vAlign w:val="center"/>
          </w:tcPr>
          <w:p w14:paraId="047E400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*产品专利</w:t>
            </w:r>
          </w:p>
        </w:tc>
        <w:tc>
          <w:tcPr>
            <w:tcW w:w="4561" w:type="dxa"/>
            <w:noWrap w:val="0"/>
            <w:vAlign w:val="center"/>
          </w:tcPr>
          <w:p w14:paraId="0B73737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防撞缓冲垫制造厂家拥有防撞缓冲垫或缓冲吸能方面相关的发明专利≥6项（提供专利证书）</w:t>
            </w:r>
          </w:p>
        </w:tc>
      </w:tr>
      <w:tr w14:paraId="4E72F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27C16647">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19.</w:t>
            </w:r>
          </w:p>
        </w:tc>
        <w:tc>
          <w:tcPr>
            <w:tcW w:w="3600" w:type="dxa"/>
            <w:noWrap w:val="0"/>
            <w:vAlign w:val="center"/>
          </w:tcPr>
          <w:p w14:paraId="0D3E5D8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颠簸测试</w:t>
            </w:r>
          </w:p>
        </w:tc>
        <w:tc>
          <w:tcPr>
            <w:tcW w:w="4561" w:type="dxa"/>
            <w:noWrap w:val="0"/>
            <w:vAlign w:val="center"/>
          </w:tcPr>
          <w:p w14:paraId="5D1BE65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供货的同类型防撞缓冲垫需经过结构颠簸测试，结构强度达标。（提供相关的测试报告）</w:t>
            </w:r>
          </w:p>
        </w:tc>
      </w:tr>
      <w:tr w14:paraId="0C59B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39D8F0E">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20</w:t>
            </w:r>
          </w:p>
        </w:tc>
        <w:tc>
          <w:tcPr>
            <w:tcW w:w="3600" w:type="dxa"/>
            <w:noWrap w:val="0"/>
            <w:vAlign w:val="center"/>
          </w:tcPr>
          <w:p w14:paraId="21EDC1F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*制造能力</w:t>
            </w:r>
          </w:p>
        </w:tc>
        <w:tc>
          <w:tcPr>
            <w:tcW w:w="4561" w:type="dxa"/>
            <w:noWrap w:val="0"/>
            <w:vAlign w:val="center"/>
          </w:tcPr>
          <w:p w14:paraId="60D3646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防撞缓冲垫制造厂家需要具备防撞垫核心吸能材料有关生产方面的国际粘接体系资质认证；(需提供证书扫描件,原件中标后备查)</w:t>
            </w:r>
          </w:p>
        </w:tc>
      </w:tr>
      <w:tr w14:paraId="5E037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EE3D2D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21.</w:t>
            </w:r>
          </w:p>
        </w:tc>
        <w:tc>
          <w:tcPr>
            <w:tcW w:w="3600" w:type="dxa"/>
            <w:noWrap w:val="0"/>
            <w:vAlign w:val="center"/>
          </w:tcPr>
          <w:p w14:paraId="3D8B147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防撞缓冲垫动力系统</w:t>
            </w:r>
          </w:p>
        </w:tc>
        <w:tc>
          <w:tcPr>
            <w:tcW w:w="4561" w:type="dxa"/>
            <w:noWrap w:val="0"/>
            <w:vAlign w:val="center"/>
          </w:tcPr>
          <w:p w14:paraId="72DFCFE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独立电动液压动力单元</w:t>
            </w:r>
          </w:p>
        </w:tc>
      </w:tr>
      <w:tr w14:paraId="23716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B6C5A7A">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22.</w:t>
            </w:r>
          </w:p>
        </w:tc>
        <w:tc>
          <w:tcPr>
            <w:tcW w:w="3600" w:type="dxa"/>
            <w:noWrap w:val="0"/>
            <w:vAlign w:val="center"/>
          </w:tcPr>
          <w:p w14:paraId="49B2428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防撞缓冲垫翻转方式</w:t>
            </w:r>
          </w:p>
        </w:tc>
        <w:tc>
          <w:tcPr>
            <w:tcW w:w="4561" w:type="dxa"/>
            <w:noWrap w:val="0"/>
            <w:vAlign w:val="center"/>
          </w:tcPr>
          <w:p w14:paraId="6D4BFBD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双油缸液压翻转，可在行驶过程中在驾驶室进行操控</w:t>
            </w:r>
          </w:p>
        </w:tc>
      </w:tr>
      <w:tr w14:paraId="4B4F4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04606A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23.</w:t>
            </w:r>
          </w:p>
        </w:tc>
        <w:tc>
          <w:tcPr>
            <w:tcW w:w="3600" w:type="dxa"/>
            <w:noWrap w:val="0"/>
            <w:vAlign w:val="center"/>
          </w:tcPr>
          <w:p w14:paraId="695881CC">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*防撞缓冲垫和灯架翻转</w:t>
            </w:r>
          </w:p>
        </w:tc>
        <w:tc>
          <w:tcPr>
            <w:tcW w:w="4561" w:type="dxa"/>
            <w:noWrap w:val="0"/>
            <w:vAlign w:val="center"/>
          </w:tcPr>
          <w:p w14:paraId="2727532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0-180度，可折叠置于车厢上方（提供照片佐证）</w:t>
            </w:r>
          </w:p>
        </w:tc>
      </w:tr>
      <w:tr w14:paraId="576D7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25FC9EA3">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24.</w:t>
            </w:r>
          </w:p>
        </w:tc>
        <w:tc>
          <w:tcPr>
            <w:tcW w:w="3600" w:type="dxa"/>
            <w:noWrap w:val="0"/>
            <w:vAlign w:val="center"/>
          </w:tcPr>
          <w:p w14:paraId="30A1911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工作时行驶速度</w:t>
            </w:r>
          </w:p>
        </w:tc>
        <w:tc>
          <w:tcPr>
            <w:tcW w:w="4561" w:type="dxa"/>
            <w:noWrap w:val="0"/>
            <w:vAlign w:val="center"/>
          </w:tcPr>
          <w:p w14:paraId="4979577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≥70km/h（防撞垫打开状态）</w:t>
            </w:r>
          </w:p>
        </w:tc>
      </w:tr>
      <w:tr w14:paraId="733E7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7F8C1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25.</w:t>
            </w:r>
          </w:p>
        </w:tc>
        <w:tc>
          <w:tcPr>
            <w:tcW w:w="3600" w:type="dxa"/>
            <w:noWrap w:val="0"/>
            <w:vAlign w:val="center"/>
          </w:tcPr>
          <w:p w14:paraId="1816705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行车记录仪、倒车影像</w:t>
            </w:r>
          </w:p>
        </w:tc>
        <w:tc>
          <w:tcPr>
            <w:tcW w:w="4561" w:type="dxa"/>
            <w:noWrap w:val="0"/>
            <w:vAlign w:val="center"/>
          </w:tcPr>
          <w:p w14:paraId="1B25C1E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车辆配有行车记录仪和倒车影像</w:t>
            </w:r>
          </w:p>
        </w:tc>
      </w:tr>
      <w:tr w14:paraId="7FBEA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0591C7">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26.</w:t>
            </w:r>
          </w:p>
        </w:tc>
        <w:tc>
          <w:tcPr>
            <w:tcW w:w="3600" w:type="dxa"/>
            <w:noWrap w:val="0"/>
            <w:vAlign w:val="center"/>
          </w:tcPr>
          <w:p w14:paraId="18EEDC9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质保期</w:t>
            </w:r>
          </w:p>
        </w:tc>
        <w:tc>
          <w:tcPr>
            <w:tcW w:w="4561" w:type="dxa"/>
            <w:noWrap w:val="0"/>
            <w:vAlign w:val="center"/>
          </w:tcPr>
          <w:p w14:paraId="308941A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2年质保期</w:t>
            </w:r>
          </w:p>
        </w:tc>
      </w:tr>
      <w:tr w14:paraId="28E4D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5B47A95">
            <w:pPr>
              <w:widowControl/>
              <w:tabs>
                <w:tab w:val="center" w:pos="4153"/>
                <w:tab w:val="right" w:pos="8306"/>
              </w:tabs>
              <w:spacing w:before="100" w:beforeAutospacing="1" w:after="100" w:afterAutospacing="1" w:line="500" w:lineRule="exact"/>
              <w:jc w:val="center"/>
              <w:rPr>
                <w:rFonts w:hint="default"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27.</w:t>
            </w:r>
          </w:p>
        </w:tc>
        <w:tc>
          <w:tcPr>
            <w:tcW w:w="3600" w:type="dxa"/>
            <w:noWrap w:val="0"/>
            <w:vAlign w:val="center"/>
          </w:tcPr>
          <w:p w14:paraId="78375FF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*其他</w:t>
            </w:r>
          </w:p>
        </w:tc>
        <w:tc>
          <w:tcPr>
            <w:tcW w:w="4561" w:type="dxa"/>
            <w:noWrap w:val="0"/>
            <w:vAlign w:val="center"/>
          </w:tcPr>
          <w:p w14:paraId="498F4D6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防撞车被撞后，供应商应免费协助办理保险理赔，防撞车发生事故，需在24小时内完成更换原厂防撞包，维修期间免费提供备用车辆供使用方使用</w:t>
            </w:r>
          </w:p>
        </w:tc>
      </w:tr>
    </w:tbl>
    <w:p w14:paraId="38AD10F7">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C77154F">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3、技术服务范围及验收标准</w:t>
      </w:r>
    </w:p>
    <w:p w14:paraId="34B0B9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1、车辆规格性能均应符合或优于本标书的要求且为新车，交货时车辆须带≥50升燃油。</w:t>
      </w:r>
    </w:p>
    <w:p w14:paraId="2872087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2、提供厂家使用说明书及维修手册1套。</w:t>
      </w:r>
    </w:p>
    <w:p w14:paraId="242DC95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3、出示厂家检验报告及合格证明。</w:t>
      </w:r>
    </w:p>
    <w:p w14:paraId="225211C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4、外观上灯光和仪表应灵敏、完整、清晰、准确，整机涂漆光泽均匀、无油漆脱落锈蚀、碰伤，附具齐全完整。</w:t>
      </w:r>
    </w:p>
    <w:p w14:paraId="2BD83D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5、各部件性能可靠，无渗漏，无异响，转动灵活，制动良好。</w:t>
      </w:r>
    </w:p>
    <w:p w14:paraId="32ADF00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6、验收期限：交货后一周内。</w:t>
      </w:r>
    </w:p>
    <w:p w14:paraId="37A67D7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7、提供到货天数：</w:t>
      </w:r>
      <w:r>
        <w:rPr>
          <w:rFonts w:hint="eastAsia" w:ascii="Times New Roman" w:hAnsi="Times New Roman" w:eastAsia="宋体" w:cs="Times New Roman"/>
          <w:color w:val="000000"/>
          <w:kern w:val="0"/>
          <w:sz w:val="21"/>
          <w:szCs w:val="21"/>
          <w:lang w:val="en-US" w:eastAsia="zh-CN" w:bidi="ar"/>
        </w:rPr>
        <w:t>30</w:t>
      </w:r>
      <w:r>
        <w:rPr>
          <w:rFonts w:hint="default" w:ascii="Times New Roman" w:hAnsi="Times New Roman" w:eastAsia="宋体" w:cs="Times New Roman"/>
          <w:color w:val="000000"/>
          <w:kern w:val="0"/>
          <w:sz w:val="21"/>
          <w:szCs w:val="21"/>
          <w:lang w:val="en-US" w:eastAsia="zh-CN" w:bidi="ar"/>
        </w:rPr>
        <w:t>天（合同签订后</w:t>
      </w:r>
      <w:r>
        <w:rPr>
          <w:rFonts w:hint="eastAsia" w:ascii="Times New Roman" w:hAnsi="Times New Roman" w:eastAsia="宋体" w:cs="Times New Roman"/>
          <w:color w:val="000000"/>
          <w:kern w:val="0"/>
          <w:sz w:val="21"/>
          <w:szCs w:val="21"/>
          <w:lang w:val="en-US" w:eastAsia="zh-CN" w:bidi="ar"/>
        </w:rPr>
        <w:t>30</w:t>
      </w:r>
      <w:r>
        <w:rPr>
          <w:rFonts w:hint="default" w:ascii="Times New Roman" w:hAnsi="Times New Roman" w:eastAsia="宋体" w:cs="Times New Roman"/>
          <w:color w:val="000000"/>
          <w:kern w:val="0"/>
          <w:sz w:val="21"/>
          <w:szCs w:val="21"/>
          <w:lang w:val="en-US" w:eastAsia="zh-CN" w:bidi="ar"/>
        </w:rPr>
        <w:t>天内）</w:t>
      </w:r>
    </w:p>
    <w:p w14:paraId="78983520">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4、培训要求基本服务要求</w:t>
      </w:r>
    </w:p>
    <w:p w14:paraId="785EE5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1、车辆（设备）安全操作规范、安全操作程序、用途、结构及维护和保养方法；</w:t>
      </w:r>
    </w:p>
    <w:p w14:paraId="74B64B0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2、指导需方操作人员进行模拟操作及对不同故障的处理；</w:t>
      </w:r>
    </w:p>
    <w:p w14:paraId="4BF3EB9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3、培训计划：完善的培训计划，不少于3天的理论和实际操作培训，保证参训人员熟练操作，懂得日常维保及维修，熟悉各部件功能，能够发现故障，能够准确与厂家技术人员进行技术沟通的能力。</w:t>
      </w:r>
    </w:p>
    <w:p w14:paraId="5B644E7D">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5、质保期及售后服务</w:t>
      </w:r>
    </w:p>
    <w:p w14:paraId="6EDC20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（1）设备（易损件除外）质保期不少于2年；若厂家公开承诺质保期更长的，质保期从其承诺；质保期自设备验收合格之日起计。</w:t>
      </w:r>
    </w:p>
    <w:p w14:paraId="3A9FB3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（2）在质保期内，接到买方信息后，2个小时内应做出明确回复，48小时内到达现场，产生一切费用由卖方承担，72小时内处理完毕。</w:t>
      </w:r>
    </w:p>
    <w:p w14:paraId="53858DD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（3）质保期内的维修工时及材料费用、维修人员的差旅费、宿费等由卖方承担。</w:t>
      </w:r>
    </w:p>
    <w:p w14:paraId="279D40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（4）在质保期内，如设备或零部件因非人力因素出现故障而造成短期停用，则质保期和免费维修期相应顺延。</w:t>
      </w:r>
    </w:p>
    <w:p w14:paraId="31FFC5A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（5）质保期内，卖方在每个季度免费进行全面维保工作。</w:t>
      </w:r>
    </w:p>
    <w:p w14:paraId="72A1225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（6）质保期外出现故障时，卖方应按质保期内时效规定提供维修服务，以优惠价格收取材料费及人工费。</w:t>
      </w:r>
    </w:p>
    <w:p w14:paraId="18500DC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售后服务：完善售后服务计划，每年不少于一次质量回访，提供维护保养报告，给予终身技术指导。质保期结束后，乙方应继续为用户提供完善且优惠的售后服务。底盘过质保期后，乙方负责售后联系。乙方应每年提供一次全车免费检测，并提供检测报告及维保建议。质保期外能提供车辆终身维修所需的配件，并在接到甲方通知后2小时内响应，24小时内将配件寄出。</w:t>
      </w:r>
    </w:p>
    <w:p w14:paraId="6399BC6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6、其他要求</w:t>
      </w:r>
    </w:p>
    <w:p w14:paraId="2D0ADB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（1）车辆配全套保养、维修专用工具，该项费用综合计入总报价中；</w:t>
      </w:r>
    </w:p>
    <w:p w14:paraId="7256FEF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（2）提供底盘、工作装置的详细技术参数、结构原理的说明</w:t>
      </w:r>
      <w:r>
        <w:rPr>
          <w:rFonts w:hint="eastAsia" w:ascii="Times New Roman" w:hAnsi="Times New Roman" w:eastAsia="宋体" w:cs="Times New Roman"/>
          <w:color w:val="000000"/>
          <w:kern w:val="0"/>
          <w:sz w:val="21"/>
          <w:szCs w:val="21"/>
          <w:lang w:val="en-US" w:eastAsia="zh-CN" w:bidi="ar"/>
        </w:rPr>
        <w:t>。</w:t>
      </w:r>
      <w:r>
        <w:rPr>
          <w:rFonts w:hint="default" w:ascii="Times New Roman" w:hAnsi="Times New Roman" w:cs="Times New Roman"/>
        </w:rP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5"/>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1" w:name="_Toc5145_WPSOffice_Level1"/>
      <w:bookmarkStart w:id="82" w:name="_Toc1914_WPSOffice_Level1"/>
      <w:bookmarkStart w:id="83" w:name="_Toc27552_WPSOffice_Level1"/>
      <w:bookmarkStart w:id="84" w:name="_Toc17394_WPSOffice_Level1"/>
      <w:r>
        <w:rPr>
          <w:rFonts w:hint="default"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85" w:name="_Toc5520_WPSOffice_Level2"/>
      <w:bookmarkStart w:id="86"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85"/>
      <w:bookmarkEnd w:id="86"/>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87" w:name="_Toc20076_WPSOffice_Level2"/>
      <w:bookmarkStart w:id="88" w:name="_Toc31577_WPSOffice_Level2"/>
      <w:r>
        <w:rPr>
          <w:rFonts w:hint="default" w:ascii="Times New Roman" w:hAnsi="Times New Roman" w:eastAsia="黑体" w:cs="Times New Roman"/>
          <w:sz w:val="28"/>
          <w:szCs w:val="28"/>
        </w:rPr>
        <w:t>年 月 日</w:t>
      </w:r>
      <w:bookmarkEnd w:id="87"/>
      <w:bookmarkEnd w:id="88"/>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89" w:name="_Toc22351_WPSOffice_Level2"/>
      <w:bookmarkStart w:id="90" w:name="_Toc21974_WPSOffice_Level2"/>
      <w:r>
        <w:rPr>
          <w:rFonts w:hint="default" w:ascii="Times New Roman" w:hAnsi="Times New Roman" w:eastAsia="黑体" w:cs="Times New Roman"/>
          <w:sz w:val="28"/>
          <w:szCs w:val="28"/>
        </w:rPr>
        <w:t>目录</w:t>
      </w:r>
      <w:bookmarkEnd w:id="89"/>
      <w:bookmarkEnd w:id="90"/>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1" w:name="_Toc23368_WPSOffice_Level1"/>
      <w:bookmarkStart w:id="92" w:name="_Toc11424_WPSOffice_Level1"/>
      <w:bookmarkStart w:id="93" w:name="_Toc6353_WPSOffice_Level1"/>
      <w:bookmarkStart w:id="94" w:name="_Toc30529_WPSOffice_Level1"/>
      <w:bookmarkStart w:id="95" w:name="_Toc12670_WPSOffice_Level1"/>
      <w:r>
        <w:rPr>
          <w:rFonts w:hint="default"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hint="default" w:ascii="Times New Roman" w:hAnsi="Times New Roman" w:eastAsia="黑体" w:cs="Times New Roman"/>
          <w:sz w:val="24"/>
        </w:rPr>
      </w:pPr>
      <w:bookmarkStart w:id="96" w:name="_Toc32729_WPSOffice_Level1"/>
      <w:bookmarkStart w:id="97" w:name="_Toc31927_WPSOffice_Level1"/>
      <w:bookmarkStart w:id="98" w:name="_Toc5317_WPSOffice_Level1"/>
      <w:bookmarkStart w:id="99" w:name="_Toc21229_WPSOffice_Level1"/>
      <w:r>
        <w:rPr>
          <w:rFonts w:hint="default"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hint="default" w:ascii="Times New Roman" w:hAnsi="Times New Roman" w:eastAsia="黑体" w:cs="Times New Roman"/>
          <w:sz w:val="24"/>
        </w:rPr>
      </w:pPr>
      <w:bookmarkStart w:id="100" w:name="_Toc23356_WPSOffice_Level1"/>
      <w:bookmarkStart w:id="101" w:name="_Toc29085_WPSOffice_Level1"/>
      <w:bookmarkStart w:id="102" w:name="_Toc4728_WPSOffice_Level1"/>
      <w:bookmarkStart w:id="103" w:name="_Toc25965_WPSOffice_Level1"/>
      <w:r>
        <w:rPr>
          <w:rFonts w:hint="default" w:ascii="Times New Roman" w:hAnsi="Times New Roman" w:eastAsia="黑体" w:cs="Times New Roman"/>
          <w:sz w:val="24"/>
        </w:rPr>
        <w:t>三、已标价的</w:t>
      </w:r>
      <w:bookmarkEnd w:id="100"/>
      <w:bookmarkEnd w:id="101"/>
      <w:bookmarkEnd w:id="102"/>
      <w:bookmarkEnd w:id="103"/>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04" w:name="_Toc18964_WPSOffice_Level1"/>
      <w:bookmarkStart w:id="105" w:name="_Toc7453_WPSOffice_Level1"/>
      <w:bookmarkStart w:id="106" w:name="_Toc23744_WPSOffice_Level1"/>
      <w:bookmarkStart w:id="107" w:name="_Toc10608_WPSOffice_Level1"/>
      <w:r>
        <w:rPr>
          <w:rFonts w:hint="default" w:ascii="Times New Roman" w:hAnsi="Times New Roman" w:eastAsia="黑体" w:cs="Times New Roman"/>
          <w:sz w:val="24"/>
        </w:rPr>
        <w:t>四、</w:t>
      </w:r>
      <w:bookmarkEnd w:id="104"/>
      <w:bookmarkEnd w:id="105"/>
      <w:bookmarkEnd w:id="106"/>
      <w:bookmarkEnd w:id="107"/>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08" w:name="_Toc19601_WPSOffice_Level1"/>
      <w:bookmarkStart w:id="109" w:name="_Toc9006_WPSOffice_Level1"/>
      <w:bookmarkStart w:id="110" w:name="_Toc1578_WPSOffice_Level1"/>
      <w:bookmarkStart w:id="111" w:name="_Toc23751_WPSOffice_Level1"/>
      <w:r>
        <w:rPr>
          <w:rFonts w:hint="default" w:ascii="Times New Roman" w:hAnsi="Times New Roman" w:eastAsia="黑体" w:cs="Times New Roman"/>
          <w:sz w:val="24"/>
        </w:rPr>
        <w:t>五、</w:t>
      </w:r>
      <w:bookmarkEnd w:id="108"/>
      <w:bookmarkEnd w:id="109"/>
      <w:bookmarkEnd w:id="110"/>
      <w:bookmarkEnd w:id="111"/>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2" w:name="_Toc24082_WPSOffice_Level1"/>
      <w:bookmarkStart w:id="113" w:name="_Toc31314_WPSOffice_Level1"/>
      <w:bookmarkStart w:id="114" w:name="_Toc24262_WPSOffice_Level1"/>
      <w:bookmarkStart w:id="115" w:name="_Toc12459_WPSOffice_Level1"/>
      <w:r>
        <w:rPr>
          <w:rFonts w:hint="default" w:ascii="Times New Roman" w:hAnsi="Times New Roman" w:eastAsia="黑体" w:cs="Times New Roman"/>
          <w:sz w:val="24"/>
        </w:rPr>
        <w:t>六、</w:t>
      </w:r>
      <w:bookmarkEnd w:id="112"/>
      <w:bookmarkEnd w:id="113"/>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16" w:name="_Toc32220_WPSOffice_Level1"/>
      <w:bookmarkStart w:id="117" w:name="_Toc20930_WPSOffice_Level1"/>
      <w:r>
        <w:rPr>
          <w:rFonts w:hint="default" w:ascii="Times New Roman" w:hAnsi="Times New Roman" w:eastAsia="黑体" w:cs="Times New Roman"/>
          <w:sz w:val="24"/>
        </w:rPr>
        <w:t>七</w:t>
      </w:r>
      <w:bookmarkEnd w:id="114"/>
      <w:bookmarkEnd w:id="115"/>
      <w:bookmarkEnd w:id="116"/>
      <w:bookmarkEnd w:id="117"/>
      <w:bookmarkStart w:id="118" w:name="_Toc25804_WPSOffice_Level1"/>
      <w:bookmarkStart w:id="119" w:name="_Toc27403_WPSOffice_Level1"/>
      <w:bookmarkStart w:id="120" w:name="_Toc30273_WPSOffice_Level1"/>
      <w:bookmarkStart w:id="121" w:name="_Toc32648_WPSOffice_Level1"/>
      <w:r>
        <w:rPr>
          <w:rFonts w:hint="default" w:ascii="Times New Roman" w:hAnsi="Times New Roman" w:eastAsia="黑体" w:cs="Times New Roman"/>
          <w:sz w:val="24"/>
        </w:rPr>
        <w:t>、</w:t>
      </w:r>
      <w:bookmarkEnd w:id="118"/>
      <w:bookmarkEnd w:id="119"/>
      <w:bookmarkEnd w:id="120"/>
      <w:bookmarkEnd w:id="121"/>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2" w:name="_Toc23147_WPSOffice_Level1"/>
      <w:bookmarkStart w:id="123" w:name="_Toc4051_WPSOffice_Level1"/>
      <w:bookmarkStart w:id="124" w:name="_Toc30234_WPSOffice_Level1"/>
      <w:bookmarkStart w:id="125" w:name="_Toc32152_WPSOffice_Level1"/>
      <w:r>
        <w:rPr>
          <w:rFonts w:hint="default" w:ascii="Times New Roman" w:hAnsi="Times New Roman" w:eastAsia="黑体" w:cs="Times New Roman"/>
          <w:sz w:val="24"/>
        </w:rPr>
        <w:t>八、</w:t>
      </w:r>
      <w:bookmarkEnd w:id="122"/>
      <w:bookmarkEnd w:id="123"/>
      <w:bookmarkEnd w:id="124"/>
      <w:bookmarkEnd w:id="125"/>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26" w:name="_Toc16988_WPSOffice_Level1"/>
      <w:bookmarkStart w:id="127" w:name="_Toc5885_WPSOffice_Level1"/>
      <w:r>
        <w:rPr>
          <w:rFonts w:hint="default"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28" w:name="_Toc30031_WPSOffice_Level1"/>
      <w:bookmarkStart w:id="129" w:name="_Toc29399_WPSOffice_Level1"/>
      <w:bookmarkStart w:id="130" w:name="_Toc18312_WPSOffice_Level1"/>
      <w:bookmarkStart w:id="131" w:name="_Toc2765_WPSOffice_Level1"/>
      <w:bookmarkStart w:id="132" w:name="_Toc1687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2"/>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2"/>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3" w:name="_Toc14563_WPSOffice_Level1"/>
      <w:bookmarkStart w:id="134" w:name="_Toc8695_WPSOffice_Level1"/>
      <w:bookmarkStart w:id="135" w:name="_Toc18668_WPSOffice_Level1"/>
      <w:bookmarkStart w:id="136" w:name="_Toc12530_WPSOffice_Level1"/>
      <w:bookmarkStart w:id="137" w:name="_Toc32350_WPSOffice_Level1"/>
      <w:r>
        <w:rPr>
          <w:rFonts w:hint="default"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38" w:name="_Toc20803_WPSOffice_Level2"/>
      <w:bookmarkStart w:id="139" w:name="_Toc5153_WPSOffice_Level2"/>
      <w:r>
        <w:rPr>
          <w:rFonts w:hint="default" w:ascii="Times New Roman" w:hAnsi="Times New Roman" w:eastAsia="黑体" w:cs="Times New Roman"/>
          <w:bCs/>
          <w:sz w:val="28"/>
          <w:szCs w:val="28"/>
        </w:rPr>
        <w:t>2-1 法定代表人身份证明</w:t>
      </w:r>
      <w:bookmarkEnd w:id="138"/>
      <w:bookmarkEnd w:id="139"/>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0" w:name="_Toc12035_WPSOffice_Level2"/>
      <w:bookmarkStart w:id="141" w:name="_Toc19768_WPSOffice_Level2"/>
      <w:r>
        <w:rPr>
          <w:rFonts w:hint="default" w:ascii="Times New Roman" w:hAnsi="Times New Roman" w:eastAsia="黑体" w:cs="Times New Roman"/>
          <w:bCs/>
          <w:sz w:val="28"/>
          <w:szCs w:val="28"/>
        </w:rPr>
        <w:t>2-2 授权委托书</w:t>
      </w:r>
      <w:bookmarkEnd w:id="140"/>
      <w:bookmarkEnd w:id="141"/>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w:t>
      </w:r>
      <w:r>
        <w:rPr>
          <w:rFonts w:hint="default" w:ascii="Times New Roman" w:hAnsi="Times New Roman" w:cs="Times New Roman"/>
          <w:szCs w:val="21"/>
        </w:rPr>
        <w:t>《中华人民共和国民法典》及相关法律法规的规定</w:t>
      </w:r>
      <w:r>
        <w:rPr>
          <w:rFonts w:hint="default" w:ascii="Times New Roman" w:hAnsi="Times New Roman" w:eastAsia="宋体" w:cs="Times New Roman"/>
          <w:szCs w:val="21"/>
        </w:rPr>
        <w:t>。</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A972C9A">
      <w:pPr>
        <w:topLinePunct/>
        <w:spacing w:line="440" w:lineRule="exact"/>
        <w:jc w:val="center"/>
        <w:rPr>
          <w:rFonts w:hint="default" w:ascii="Times New Roman" w:hAnsi="Times New Roman" w:eastAsia="黑体" w:cs="Times New Roman"/>
          <w:sz w:val="28"/>
          <w:szCs w:val="28"/>
        </w:rPr>
      </w:pPr>
      <w:bookmarkStart w:id="142" w:name="_Toc32085_WPSOffice_Level1"/>
      <w:bookmarkStart w:id="143" w:name="_Toc24567_WPSOffice_Level1"/>
      <w:bookmarkStart w:id="144" w:name="_Toc15186_WPSOffice_Level1"/>
      <w:bookmarkStart w:id="145" w:name="_Toc24530_WPSOffice_Level1"/>
      <w:bookmarkStart w:id="146" w:name="_Toc12942_WPSOffice_Level1"/>
      <w:r>
        <w:rPr>
          <w:rFonts w:hint="default" w:ascii="Times New Roman" w:hAnsi="Times New Roman" w:eastAsia="黑体" w:cs="Times New Roman"/>
          <w:sz w:val="28"/>
          <w:szCs w:val="28"/>
        </w:rPr>
        <w:t>三、已标价的</w:t>
      </w:r>
      <w:bookmarkEnd w:id="142"/>
      <w:bookmarkEnd w:id="143"/>
      <w:bookmarkEnd w:id="144"/>
      <w:bookmarkEnd w:id="145"/>
      <w:r>
        <w:rPr>
          <w:rFonts w:hint="default" w:ascii="Times New Roman" w:hAnsi="Times New Roman" w:eastAsia="黑体" w:cs="Times New Roman"/>
          <w:sz w:val="28"/>
          <w:szCs w:val="28"/>
        </w:rPr>
        <w:t>报价清单</w:t>
      </w:r>
      <w:bookmarkEnd w:id="146"/>
      <w:bookmarkStart w:id="147" w:name="_Toc23545_WPSOffice_Level1"/>
      <w:bookmarkStart w:id="148" w:name="_Toc7738_WPSOffice_Level1"/>
      <w:bookmarkStart w:id="149" w:name="_Toc10436_WPSOffice_Level1"/>
      <w:bookmarkStart w:id="150" w:name="_Toc22815_WPSOffice_Level1"/>
      <w:bookmarkStart w:id="151" w:name="_Toc31445_WPSOffice_Level1"/>
    </w:p>
    <w:p w14:paraId="70416B21">
      <w:pPr>
        <w:rPr>
          <w:rFonts w:hint="default" w:ascii="Times New Roman" w:hAnsi="Times New Roman" w:eastAsia="黑体" w:cs="Times New Roman"/>
          <w:sz w:val="28"/>
          <w:szCs w:val="28"/>
        </w:rPr>
      </w:pPr>
    </w:p>
    <w:tbl>
      <w:tblPr>
        <w:tblStyle w:val="15"/>
        <w:tblpPr w:leftFromText="180" w:rightFromText="180" w:vertAnchor="text" w:horzAnchor="page" w:tblpX="1314" w:tblpY="425"/>
        <w:tblOverlap w:val="never"/>
        <w:tblW w:w="5658" w:type="pct"/>
        <w:tblInd w:w="0" w:type="dxa"/>
        <w:tblLayout w:type="fixed"/>
        <w:tblCellMar>
          <w:top w:w="0" w:type="dxa"/>
          <w:left w:w="108" w:type="dxa"/>
          <w:bottom w:w="0" w:type="dxa"/>
          <w:right w:w="108" w:type="dxa"/>
        </w:tblCellMar>
      </w:tblPr>
      <w:tblGrid>
        <w:gridCol w:w="870"/>
        <w:gridCol w:w="1440"/>
        <w:gridCol w:w="1530"/>
        <w:gridCol w:w="825"/>
        <w:gridCol w:w="825"/>
        <w:gridCol w:w="1230"/>
        <w:gridCol w:w="1200"/>
        <w:gridCol w:w="1725"/>
      </w:tblGrid>
      <w:tr w14:paraId="6EE44936">
        <w:tblPrEx>
          <w:tblCellMar>
            <w:top w:w="0" w:type="dxa"/>
            <w:left w:w="108" w:type="dxa"/>
            <w:bottom w:w="0" w:type="dxa"/>
            <w:right w:w="108" w:type="dxa"/>
          </w:tblCellMar>
        </w:tblPrEx>
        <w:trPr>
          <w:trHeight w:val="867"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8D5E6E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746" w:type="pct"/>
            <w:tcBorders>
              <w:top w:val="single" w:color="auto" w:sz="4" w:space="0"/>
              <w:left w:val="single" w:color="auto" w:sz="4" w:space="0"/>
              <w:bottom w:val="single" w:color="auto" w:sz="4" w:space="0"/>
              <w:right w:val="single" w:color="auto" w:sz="4" w:space="0"/>
            </w:tcBorders>
            <w:noWrap/>
            <w:vAlign w:val="center"/>
          </w:tcPr>
          <w:p w14:paraId="322F55E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项目名称</w:t>
            </w:r>
          </w:p>
        </w:tc>
        <w:tc>
          <w:tcPr>
            <w:tcW w:w="793" w:type="pct"/>
            <w:tcBorders>
              <w:top w:val="single" w:color="auto" w:sz="4" w:space="0"/>
              <w:left w:val="single" w:color="auto" w:sz="4" w:space="0"/>
              <w:bottom w:val="single" w:color="auto" w:sz="4" w:space="0"/>
              <w:right w:val="single" w:color="auto" w:sz="4" w:space="0"/>
            </w:tcBorders>
            <w:noWrap/>
            <w:vAlign w:val="center"/>
          </w:tcPr>
          <w:p w14:paraId="3DF6FD12">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品牌型号</w:t>
            </w:r>
          </w:p>
        </w:tc>
        <w:tc>
          <w:tcPr>
            <w:tcW w:w="427" w:type="pct"/>
            <w:tcBorders>
              <w:top w:val="single" w:color="auto" w:sz="4" w:space="0"/>
              <w:left w:val="single" w:color="auto" w:sz="4" w:space="0"/>
              <w:bottom w:val="single" w:color="auto" w:sz="4" w:space="0"/>
              <w:right w:val="single" w:color="auto" w:sz="4" w:space="0"/>
            </w:tcBorders>
            <w:noWrap/>
            <w:vAlign w:val="center"/>
          </w:tcPr>
          <w:p w14:paraId="7FC8852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c>
          <w:tcPr>
            <w:tcW w:w="427" w:type="pct"/>
            <w:tcBorders>
              <w:top w:val="single" w:color="auto" w:sz="4" w:space="0"/>
              <w:left w:val="single" w:color="auto" w:sz="4" w:space="0"/>
              <w:bottom w:val="single" w:color="auto" w:sz="4" w:space="0"/>
              <w:right w:val="single" w:color="auto" w:sz="4" w:space="0"/>
            </w:tcBorders>
            <w:noWrap/>
            <w:vAlign w:val="center"/>
          </w:tcPr>
          <w:p w14:paraId="5BD0BA50">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数量</w:t>
            </w:r>
          </w:p>
        </w:tc>
        <w:tc>
          <w:tcPr>
            <w:tcW w:w="637" w:type="pct"/>
            <w:tcBorders>
              <w:top w:val="single" w:color="auto" w:sz="4" w:space="0"/>
              <w:left w:val="single" w:color="auto" w:sz="4" w:space="0"/>
              <w:bottom w:val="single" w:color="auto" w:sz="4" w:space="0"/>
              <w:right w:val="single" w:color="auto" w:sz="4" w:space="0"/>
            </w:tcBorders>
            <w:noWrap/>
            <w:vAlign w:val="center"/>
          </w:tcPr>
          <w:p w14:paraId="1C9378E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w:t>
            </w:r>
          </w:p>
        </w:tc>
        <w:tc>
          <w:tcPr>
            <w:tcW w:w="622" w:type="pct"/>
            <w:tcBorders>
              <w:top w:val="single" w:color="auto" w:sz="4" w:space="0"/>
              <w:left w:val="single" w:color="auto" w:sz="4" w:space="0"/>
              <w:bottom w:val="single" w:color="auto" w:sz="4" w:space="0"/>
              <w:right w:val="single" w:color="auto" w:sz="4" w:space="0"/>
            </w:tcBorders>
            <w:noWrap/>
            <w:vAlign w:val="center"/>
          </w:tcPr>
          <w:p w14:paraId="3399B22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合价</w:t>
            </w:r>
          </w:p>
        </w:tc>
        <w:tc>
          <w:tcPr>
            <w:tcW w:w="894" w:type="pct"/>
            <w:tcBorders>
              <w:top w:val="single" w:color="auto" w:sz="4" w:space="0"/>
              <w:left w:val="single" w:color="auto" w:sz="4" w:space="0"/>
              <w:bottom w:val="single" w:color="auto" w:sz="4" w:space="0"/>
              <w:right w:val="single" w:color="auto" w:sz="4" w:space="0"/>
            </w:tcBorders>
            <w:noWrap/>
            <w:vAlign w:val="center"/>
          </w:tcPr>
          <w:p w14:paraId="3C7F935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5309B010">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40A92785">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46" w:type="pct"/>
            <w:tcBorders>
              <w:top w:val="single" w:color="auto" w:sz="4" w:space="0"/>
              <w:left w:val="single" w:color="auto" w:sz="4" w:space="0"/>
              <w:bottom w:val="single" w:color="auto" w:sz="4" w:space="0"/>
              <w:right w:val="single" w:color="auto" w:sz="4" w:space="0"/>
            </w:tcBorders>
            <w:noWrap/>
            <w:vAlign w:val="center"/>
          </w:tcPr>
          <w:p w14:paraId="035032D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防撞车</w:t>
            </w:r>
          </w:p>
        </w:tc>
        <w:tc>
          <w:tcPr>
            <w:tcW w:w="793" w:type="pct"/>
            <w:tcBorders>
              <w:top w:val="single" w:color="auto" w:sz="4" w:space="0"/>
              <w:left w:val="single" w:color="auto" w:sz="4" w:space="0"/>
              <w:bottom w:val="single" w:color="auto" w:sz="4" w:space="0"/>
              <w:right w:val="single" w:color="auto" w:sz="4" w:space="0"/>
            </w:tcBorders>
            <w:noWrap/>
            <w:vAlign w:val="center"/>
          </w:tcPr>
          <w:p w14:paraId="12141B12">
            <w:pPr>
              <w:jc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29824FA3">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辆</w:t>
            </w:r>
          </w:p>
        </w:tc>
        <w:tc>
          <w:tcPr>
            <w:tcW w:w="427" w:type="pct"/>
            <w:tcBorders>
              <w:top w:val="single" w:color="auto" w:sz="4" w:space="0"/>
              <w:left w:val="single" w:color="auto" w:sz="4" w:space="0"/>
              <w:bottom w:val="single" w:color="auto" w:sz="4" w:space="0"/>
              <w:right w:val="single" w:color="auto" w:sz="4" w:space="0"/>
            </w:tcBorders>
            <w:noWrap/>
            <w:vAlign w:val="center"/>
          </w:tcPr>
          <w:p w14:paraId="38A7B8FE">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37" w:type="pct"/>
            <w:tcBorders>
              <w:top w:val="single" w:color="auto" w:sz="4" w:space="0"/>
              <w:left w:val="single" w:color="auto" w:sz="4" w:space="0"/>
              <w:bottom w:val="single" w:color="auto" w:sz="4" w:space="0"/>
              <w:right w:val="single" w:color="auto" w:sz="4" w:space="0"/>
            </w:tcBorders>
            <w:noWrap/>
            <w:vAlign w:val="center"/>
          </w:tcPr>
          <w:p w14:paraId="46463D9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1AD6012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00EE57F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r>
      <w:tr w14:paraId="5660B73A">
        <w:tblPrEx>
          <w:tblCellMar>
            <w:top w:w="0" w:type="dxa"/>
            <w:left w:w="108" w:type="dxa"/>
            <w:bottom w:w="0" w:type="dxa"/>
            <w:right w:w="108" w:type="dxa"/>
          </w:tblCellMar>
        </w:tblPrEx>
        <w:trPr>
          <w:trHeight w:val="631" w:hRule="atLeast"/>
        </w:trPr>
        <w:tc>
          <w:tcPr>
            <w:tcW w:w="3483" w:type="pct"/>
            <w:gridSpan w:val="6"/>
            <w:tcBorders>
              <w:top w:val="single" w:color="auto" w:sz="4" w:space="0"/>
              <w:left w:val="single" w:color="auto" w:sz="4" w:space="0"/>
              <w:bottom w:val="single" w:color="auto" w:sz="4" w:space="0"/>
              <w:right w:val="single" w:color="auto" w:sz="4" w:space="0"/>
            </w:tcBorders>
            <w:noWrap/>
            <w:vAlign w:val="center"/>
          </w:tcPr>
          <w:p w14:paraId="5D4925AB">
            <w:pPr>
              <w:jc w:val="center"/>
              <w:rPr>
                <w:rFonts w:hint="eastAsia" w:ascii="宋体" w:hAnsi="宋体" w:eastAsia="宋体" w:cs="宋体"/>
                <w:color w:val="000000"/>
                <w:sz w:val="18"/>
                <w:szCs w:val="18"/>
              </w:rPr>
            </w:pPr>
            <w:r>
              <w:rPr>
                <w:rFonts w:hint="eastAsia" w:ascii="宋体" w:hAnsi="宋体" w:eastAsia="宋体" w:cs="宋体"/>
                <w:b/>
                <w:bCs/>
                <w:i w:val="0"/>
                <w:iCs w:val="0"/>
                <w:color w:val="000000"/>
                <w:kern w:val="0"/>
                <w:sz w:val="22"/>
                <w:szCs w:val="22"/>
                <w:u w:val="none"/>
                <w:lang w:val="en-US" w:eastAsia="zh-CN" w:bidi="ar"/>
              </w:rPr>
              <w:t>合计</w:t>
            </w:r>
          </w:p>
        </w:tc>
        <w:tc>
          <w:tcPr>
            <w:tcW w:w="622" w:type="pct"/>
            <w:tcBorders>
              <w:top w:val="single" w:color="auto" w:sz="4" w:space="0"/>
              <w:left w:val="single" w:color="auto" w:sz="4" w:space="0"/>
              <w:bottom w:val="single" w:color="auto" w:sz="4" w:space="0"/>
              <w:right w:val="single" w:color="auto" w:sz="4" w:space="0"/>
            </w:tcBorders>
            <w:noWrap/>
            <w:vAlign w:val="center"/>
          </w:tcPr>
          <w:p w14:paraId="696155E1">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6197F189">
            <w:pPr>
              <w:keepNext w:val="0"/>
              <w:keepLines w:val="0"/>
              <w:widowControl/>
              <w:suppressLineNumbers w:val="0"/>
              <w:jc w:val="center"/>
              <w:textAlignment w:val="center"/>
              <w:rPr>
                <w:rFonts w:hint="eastAsia" w:ascii="宋体" w:hAnsi="宋体" w:eastAsia="宋体" w:cs="宋体"/>
                <w:color w:val="000000"/>
                <w:sz w:val="18"/>
                <w:szCs w:val="18"/>
              </w:rPr>
            </w:pPr>
          </w:p>
        </w:tc>
      </w:tr>
    </w:tbl>
    <w:p w14:paraId="2817B9AC">
      <w:pPr>
        <w:rPr>
          <w:rFonts w:hint="default" w:ascii="Times New Roman" w:hAnsi="Times New Roman" w:eastAsia="仿宋" w:cs="Times New Roman"/>
          <w:sz w:val="30"/>
          <w:szCs w:val="30"/>
        </w:rPr>
      </w:pPr>
    </w:p>
    <w:p w14:paraId="28583CFD">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2F592EBD">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B4A9DC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0D5C2D5C">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0C18811B">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273FC188">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5CE90DD4">
      <w:pPr>
        <w:jc w:val="right"/>
        <w:rPr>
          <w:rFonts w:hint="default" w:ascii="Times New Roman" w:hAnsi="Times New Roman" w:eastAsia="宋体" w:cs="Times New Roman"/>
          <w:sz w:val="24"/>
          <w:szCs w:val="24"/>
          <w:lang w:val="en-US" w:eastAsia="zh-CN"/>
        </w:rPr>
      </w:pPr>
    </w:p>
    <w:p w14:paraId="65526003">
      <w:pPr>
        <w:jc w:val="right"/>
        <w:rPr>
          <w:rFonts w:hint="default" w:ascii="Times New Roman" w:hAnsi="Times New Roman" w:eastAsia="宋体" w:cs="Times New Roman"/>
          <w:sz w:val="24"/>
          <w:szCs w:val="24"/>
          <w:lang w:val="en-US" w:eastAsia="zh-CN"/>
        </w:rPr>
      </w:pPr>
    </w:p>
    <w:p w14:paraId="569E89AF">
      <w:pPr>
        <w:jc w:val="right"/>
        <w:rPr>
          <w:rFonts w:hint="default" w:ascii="Times New Roman" w:hAnsi="Times New Roman" w:eastAsia="宋体" w:cs="Times New Roman"/>
          <w:sz w:val="24"/>
          <w:szCs w:val="24"/>
        </w:rPr>
      </w:pPr>
      <w:bookmarkStart w:id="164" w:name="_GoBack"/>
      <w:bookmarkEnd w:id="164"/>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792B28BB">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20B3AF95">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7CD90704">
      <w:pPr>
        <w:pStyle w:val="2"/>
        <w:numPr>
          <w:ilvl w:val="0"/>
          <w:numId w:val="0"/>
        </w:numPr>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52" w:name="_Toc27600_WPSOffice_Level2"/>
      <w:bookmarkStart w:id="153" w:name="_Toc2807_WPSOffice_Level2"/>
      <w:r>
        <w:rPr>
          <w:rFonts w:hint="default"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hint="default" w:ascii="Times New Roman" w:hAnsi="Times New Roman" w:cs="Times New Roman"/>
          <w:sz w:val="23"/>
          <w:szCs w:val="23"/>
        </w:rPr>
      </w:pPr>
    </w:p>
    <w:tbl>
      <w:tblPr>
        <w:tblStyle w:val="1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54" w:name="_Toc19004_WPSOffice_Level1"/>
      <w:bookmarkStart w:id="155" w:name="_Toc1452_WPSOffice_Level1"/>
      <w:bookmarkStart w:id="156" w:name="_Toc5072_WPSOffice_Level1"/>
      <w:bookmarkStart w:id="157" w:name="_Toc18547_WPSOffice_Level1"/>
      <w:bookmarkStart w:id="158" w:name="_Toc3772_WPSOffice_Level1"/>
      <w:r>
        <w:rPr>
          <w:rFonts w:hint="default" w:ascii="Times New Roman" w:hAnsi="Times New Roman" w:eastAsia="黑体" w:cs="Times New Roman"/>
          <w:sz w:val="28"/>
          <w:szCs w:val="28"/>
        </w:rPr>
        <w:t>五、近年类似业绩情况</w:t>
      </w:r>
      <w:bookmarkEnd w:id="154"/>
      <w:bookmarkEnd w:id="155"/>
      <w:bookmarkEnd w:id="156"/>
      <w:bookmarkEnd w:id="157"/>
      <w:bookmarkEnd w:id="158"/>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59" w:name="_Toc3893_WPSOffice_Level1"/>
      <w:bookmarkStart w:id="160" w:name="_Toc30712_WPSOffice_Level1"/>
      <w:bookmarkStart w:id="161" w:name="_Toc12019_WPSOffice_Level1"/>
      <w:bookmarkStart w:id="162" w:name="_Toc5403_WPSOffice_Level1"/>
      <w:bookmarkStart w:id="163" w:name="_Toc9267_WPSOffice_Level1"/>
      <w:r>
        <w:rPr>
          <w:rFonts w:hint="default" w:ascii="Times New Roman" w:hAnsi="Times New Roman" w:eastAsia="黑体" w:cs="Times New Roman"/>
          <w:sz w:val="28"/>
          <w:szCs w:val="28"/>
        </w:rPr>
        <w:t>六、信誉情况</w:t>
      </w:r>
      <w:bookmarkEnd w:id="159"/>
      <w:bookmarkEnd w:id="160"/>
      <w:bookmarkEnd w:id="161"/>
      <w:bookmarkEnd w:id="162"/>
      <w:bookmarkEnd w:id="163"/>
    </w:p>
    <w:p w14:paraId="426148BD">
      <w:pPr>
        <w:topLinePunct/>
        <w:spacing w:line="440" w:lineRule="exact"/>
        <w:rPr>
          <w:rFonts w:hint="default" w:ascii="Times New Roman" w:hAnsi="Times New Roman" w:cs="Times New Roman"/>
          <w:bCs/>
          <w:sz w:val="23"/>
          <w:szCs w:val="23"/>
        </w:rPr>
      </w:pP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5"/>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5"/>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5"/>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5"/>
        <w:jc w:val="center"/>
        <w:rPr>
          <w:rFonts w:hint="default" w:ascii="Times New Roman" w:hAnsi="Times New Roman" w:eastAsia="黑体" w:cs="Times New Roman"/>
          <w:sz w:val="28"/>
          <w:szCs w:val="28"/>
        </w:rPr>
      </w:pPr>
    </w:p>
    <w:p w14:paraId="033AF21B">
      <w:pPr>
        <w:pStyle w:val="39"/>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5"/>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5"/>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5"/>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2"/>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5"/>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3"/>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EE13E660"/>
    <w:multiLevelType w:val="singleLevel"/>
    <w:tmpl w:val="EE13E660"/>
    <w:lvl w:ilvl="0" w:tentative="0">
      <w:start w:val="2"/>
      <w:numFmt w:val="decimal"/>
      <w:suff w:val="nothing"/>
      <w:lvlText w:val="（%1）"/>
      <w:lvlJc w:val="left"/>
    </w:lvl>
  </w:abstractNum>
  <w:abstractNum w:abstractNumId="3">
    <w:nsid w:val="2E95D47B"/>
    <w:multiLevelType w:val="singleLevel"/>
    <w:tmpl w:val="2E95D47B"/>
    <w:lvl w:ilvl="0" w:tentative="0">
      <w:start w:val="1"/>
      <w:numFmt w:val="decimal"/>
      <w:pStyle w:val="2"/>
      <w:suff w:val="nothing"/>
      <w:lvlText w:val="%1．"/>
      <w:lvlJc w:val="left"/>
      <w:pPr>
        <w:ind w:left="17" w:firstLine="400"/>
      </w:pPr>
      <w:rPr>
        <w:rFonts w:hint="default"/>
      </w:rPr>
    </w:lvl>
  </w:abstractNum>
  <w:abstractNum w:abstractNumId="4">
    <w:nsid w:val="59988EA0"/>
    <w:multiLevelType w:val="singleLevel"/>
    <w:tmpl w:val="59988EA0"/>
    <w:lvl w:ilvl="0" w:tentative="0">
      <w:start w:val="2"/>
      <w:numFmt w:val="decimal"/>
      <w:suff w:val="nothing"/>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4557C2"/>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A018C"/>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9408D"/>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EFC0E6B"/>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3FE2548"/>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A7A3A"/>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06A6A"/>
    <w:rsid w:val="2A433E72"/>
    <w:rsid w:val="2A4D466A"/>
    <w:rsid w:val="2A571212"/>
    <w:rsid w:val="2A5A558B"/>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5E0A"/>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02001"/>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3B09"/>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6E0FF2"/>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04EA3"/>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97766A"/>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7FD73D2"/>
    <w:rsid w:val="58033794"/>
    <w:rsid w:val="580F00F8"/>
    <w:rsid w:val="58212766"/>
    <w:rsid w:val="58263803"/>
    <w:rsid w:val="583B5BED"/>
    <w:rsid w:val="584B2C50"/>
    <w:rsid w:val="58575B08"/>
    <w:rsid w:val="589C0B6F"/>
    <w:rsid w:val="58A806C6"/>
    <w:rsid w:val="58B26E94"/>
    <w:rsid w:val="58C223CA"/>
    <w:rsid w:val="58C346B5"/>
    <w:rsid w:val="58D53FE9"/>
    <w:rsid w:val="58E42340"/>
    <w:rsid w:val="59020C98"/>
    <w:rsid w:val="5959116E"/>
    <w:rsid w:val="595C1744"/>
    <w:rsid w:val="59633BAD"/>
    <w:rsid w:val="59A71C9E"/>
    <w:rsid w:val="59A76356"/>
    <w:rsid w:val="59F04A80"/>
    <w:rsid w:val="59F519D4"/>
    <w:rsid w:val="59F85C2D"/>
    <w:rsid w:val="5A050A6E"/>
    <w:rsid w:val="5A0C177D"/>
    <w:rsid w:val="5A2630E3"/>
    <w:rsid w:val="5A307436"/>
    <w:rsid w:val="5A403EEE"/>
    <w:rsid w:val="5A4B0CCF"/>
    <w:rsid w:val="5A582702"/>
    <w:rsid w:val="5A5D2CFE"/>
    <w:rsid w:val="5A8E4C59"/>
    <w:rsid w:val="5A9A1081"/>
    <w:rsid w:val="5AB02E22"/>
    <w:rsid w:val="5ABD6DE3"/>
    <w:rsid w:val="5ABE4B4A"/>
    <w:rsid w:val="5AC52707"/>
    <w:rsid w:val="5AC7420B"/>
    <w:rsid w:val="5AE10634"/>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26C67"/>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61B48"/>
    <w:rsid w:val="660D6F99"/>
    <w:rsid w:val="66374AE6"/>
    <w:rsid w:val="663F54F7"/>
    <w:rsid w:val="66442840"/>
    <w:rsid w:val="664C6704"/>
    <w:rsid w:val="664E5351"/>
    <w:rsid w:val="66503496"/>
    <w:rsid w:val="66520FBC"/>
    <w:rsid w:val="66595BE2"/>
    <w:rsid w:val="66613280"/>
    <w:rsid w:val="6686712D"/>
    <w:rsid w:val="668B29C5"/>
    <w:rsid w:val="668B6FEC"/>
    <w:rsid w:val="669B741A"/>
    <w:rsid w:val="66A426A7"/>
    <w:rsid w:val="66AE3981"/>
    <w:rsid w:val="66DC78A1"/>
    <w:rsid w:val="66DD6475"/>
    <w:rsid w:val="66E83943"/>
    <w:rsid w:val="66ED6329"/>
    <w:rsid w:val="66EF6874"/>
    <w:rsid w:val="66F531AA"/>
    <w:rsid w:val="66F608B5"/>
    <w:rsid w:val="66F9345B"/>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A17F5"/>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A50E3"/>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715675"/>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4FA31C0"/>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77C59"/>
    <w:rsid w:val="790F66E7"/>
    <w:rsid w:val="791E54E8"/>
    <w:rsid w:val="796558AF"/>
    <w:rsid w:val="79714322"/>
    <w:rsid w:val="79925588"/>
    <w:rsid w:val="79B90752"/>
    <w:rsid w:val="79E84AA0"/>
    <w:rsid w:val="79EE0E19"/>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2D5F40"/>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1"/>
    <w:next w:val="1"/>
    <w:link w:val="25"/>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List 2"/>
    <w:basedOn w:val="1"/>
    <w:qFormat/>
    <w:uiPriority w:val="0"/>
    <w:pPr>
      <w:ind w:left="100" w:leftChars="200" w:hanging="200" w:hangingChars="200"/>
    </w:pPr>
  </w:style>
  <w:style w:type="paragraph" w:styleId="10">
    <w:name w:val="Balloon Text"/>
    <w:basedOn w:val="1"/>
    <w:link w:val="41"/>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Body Text First Indent 2"/>
    <w:basedOn w:val="7"/>
    <w:next w:val="5"/>
    <w:autoRedefine/>
    <w:unhideWhenUsed/>
    <w:qFormat/>
    <w:uiPriority w:val="99"/>
    <w:pPr>
      <w:ind w:firstLine="420" w:firstLineChars="200"/>
    </w:pPr>
    <w:rPr>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FollowedHyperlink"/>
    <w:basedOn w:val="17"/>
    <w:autoRedefine/>
    <w:qFormat/>
    <w:uiPriority w:val="0"/>
    <w:rPr>
      <w:rFonts w:hint="eastAsia" w:ascii="微软雅黑" w:hAnsi="微软雅黑" w:eastAsia="微软雅黑" w:cs="微软雅黑"/>
      <w:color w:val="323232"/>
      <w:sz w:val="21"/>
      <w:szCs w:val="21"/>
      <w:u w:val="none"/>
    </w:rPr>
  </w:style>
  <w:style w:type="character" w:styleId="21">
    <w:name w:val="Hyperlink"/>
    <w:basedOn w:val="17"/>
    <w:autoRedefine/>
    <w:qFormat/>
    <w:uiPriority w:val="0"/>
    <w:rPr>
      <w:color w:val="0000FF"/>
      <w:u w:val="single"/>
    </w:rPr>
  </w:style>
  <w:style w:type="paragraph" w:customStyle="1" w:styleId="22">
    <w:name w:val="WPSOffice手动目录 1"/>
    <w:autoRedefine/>
    <w:qFormat/>
    <w:uiPriority w:val="0"/>
    <w:rPr>
      <w:rFonts w:asciiTheme="minorHAnsi" w:hAnsiTheme="minorHAnsi" w:eastAsiaTheme="minorEastAsia" w:cstheme="minorBidi"/>
      <w:lang w:val="en-US" w:eastAsia="zh-CN" w:bidi="ar-SA"/>
    </w:rPr>
  </w:style>
  <w:style w:type="paragraph" w:customStyle="1" w:styleId="23">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4">
    <w:name w:val="正文 题目"/>
    <w:basedOn w:val="1"/>
    <w:autoRedefine/>
    <w:qFormat/>
    <w:uiPriority w:val="0"/>
    <w:pPr>
      <w:jc w:val="center"/>
    </w:pPr>
    <w:rPr>
      <w:rFonts w:ascii="黑体" w:hAnsi="黑体" w:eastAsia="黑体"/>
      <w:sz w:val="28"/>
    </w:rPr>
  </w:style>
  <w:style w:type="character" w:customStyle="1" w:styleId="25">
    <w:name w:val="标题 2 Char"/>
    <w:link w:val="2"/>
    <w:autoRedefine/>
    <w:qFormat/>
    <w:uiPriority w:val="0"/>
    <w:rPr>
      <w:rFonts w:ascii="Arial" w:hAnsi="Arial"/>
      <w:b/>
      <w:bCs/>
      <w:sz w:val="28"/>
      <w:szCs w:val="32"/>
    </w:rPr>
  </w:style>
  <w:style w:type="character" w:customStyle="1" w:styleId="26">
    <w:name w:val="font01"/>
    <w:basedOn w:val="17"/>
    <w:autoRedefine/>
    <w:qFormat/>
    <w:uiPriority w:val="0"/>
    <w:rPr>
      <w:rFonts w:hint="eastAsia" w:ascii="宋体" w:hAnsi="宋体" w:eastAsia="宋体" w:cs="宋体"/>
      <w:color w:val="000000"/>
      <w:sz w:val="20"/>
      <w:szCs w:val="20"/>
      <w:u w:val="none"/>
    </w:rPr>
  </w:style>
  <w:style w:type="character" w:customStyle="1" w:styleId="27">
    <w:name w:val="font31"/>
    <w:basedOn w:val="17"/>
    <w:autoRedefine/>
    <w:qFormat/>
    <w:uiPriority w:val="0"/>
    <w:rPr>
      <w:rFonts w:hint="eastAsia" w:ascii="宋体" w:hAnsi="宋体" w:eastAsia="宋体" w:cs="宋体"/>
      <w:color w:val="000000"/>
      <w:sz w:val="24"/>
      <w:szCs w:val="24"/>
      <w:u w:val="none"/>
    </w:rPr>
  </w:style>
  <w:style w:type="character" w:customStyle="1" w:styleId="28">
    <w:name w:val="font61"/>
    <w:basedOn w:val="17"/>
    <w:autoRedefine/>
    <w:qFormat/>
    <w:uiPriority w:val="0"/>
    <w:rPr>
      <w:rFonts w:hint="default" w:ascii="Times New Roman" w:hAnsi="Times New Roman" w:cs="Times New Roman"/>
      <w:color w:val="000000"/>
      <w:sz w:val="24"/>
      <w:szCs w:val="24"/>
      <w:u w:val="none"/>
    </w:rPr>
  </w:style>
  <w:style w:type="character" w:customStyle="1" w:styleId="29">
    <w:name w:val="font11"/>
    <w:basedOn w:val="17"/>
    <w:autoRedefine/>
    <w:qFormat/>
    <w:uiPriority w:val="0"/>
    <w:rPr>
      <w:rFonts w:hint="eastAsia" w:ascii="宋体" w:hAnsi="宋体" w:eastAsia="宋体" w:cs="宋体"/>
      <w:color w:val="000000"/>
      <w:sz w:val="24"/>
      <w:szCs w:val="24"/>
      <w:u w:val="none"/>
    </w:rPr>
  </w:style>
  <w:style w:type="character" w:customStyle="1" w:styleId="30">
    <w:name w:val="font51"/>
    <w:basedOn w:val="17"/>
    <w:autoRedefine/>
    <w:qFormat/>
    <w:uiPriority w:val="0"/>
    <w:rPr>
      <w:rFonts w:ascii="Calibri" w:hAnsi="Calibri" w:cs="Calibri"/>
      <w:color w:val="000000"/>
      <w:sz w:val="24"/>
      <w:szCs w:val="24"/>
      <w:u w:val="none"/>
    </w:rPr>
  </w:style>
  <w:style w:type="character" w:customStyle="1" w:styleId="31">
    <w:name w:val="font21"/>
    <w:basedOn w:val="17"/>
    <w:autoRedefine/>
    <w:qFormat/>
    <w:uiPriority w:val="0"/>
    <w:rPr>
      <w:rFonts w:hint="eastAsia" w:ascii="宋体" w:hAnsi="宋体" w:eastAsia="宋体" w:cs="宋体"/>
      <w:b/>
      <w:bCs/>
      <w:color w:val="000000"/>
      <w:sz w:val="20"/>
      <w:szCs w:val="20"/>
      <w:u w:val="none"/>
    </w:rPr>
  </w:style>
  <w:style w:type="character" w:customStyle="1" w:styleId="32">
    <w:name w:val="font81"/>
    <w:basedOn w:val="17"/>
    <w:autoRedefine/>
    <w:qFormat/>
    <w:uiPriority w:val="0"/>
    <w:rPr>
      <w:rFonts w:hint="default" w:ascii="Times New Roman" w:hAnsi="Times New Roman" w:cs="Times New Roman"/>
      <w:b/>
      <w:bCs/>
      <w:color w:val="000000"/>
      <w:sz w:val="20"/>
      <w:szCs w:val="20"/>
      <w:u w:val="none"/>
    </w:rPr>
  </w:style>
  <w:style w:type="character" w:customStyle="1" w:styleId="33">
    <w:name w:val="font41"/>
    <w:basedOn w:val="17"/>
    <w:autoRedefine/>
    <w:qFormat/>
    <w:uiPriority w:val="0"/>
    <w:rPr>
      <w:rFonts w:hint="eastAsia" w:ascii="宋体" w:hAnsi="宋体" w:eastAsia="宋体" w:cs="宋体"/>
      <w:color w:val="000000"/>
      <w:sz w:val="20"/>
      <w:szCs w:val="20"/>
      <w:u w:val="none"/>
    </w:rPr>
  </w:style>
  <w:style w:type="character" w:customStyle="1" w:styleId="34">
    <w:name w:val="font71"/>
    <w:basedOn w:val="17"/>
    <w:autoRedefine/>
    <w:qFormat/>
    <w:uiPriority w:val="0"/>
    <w:rPr>
      <w:rFonts w:hint="eastAsia" w:ascii="宋体" w:hAnsi="宋体" w:eastAsia="宋体" w:cs="宋体"/>
      <w:b/>
      <w:bCs/>
      <w:color w:val="000000"/>
      <w:sz w:val="20"/>
      <w:szCs w:val="20"/>
      <w:u w:val="none"/>
      <w:vertAlign w:val="superscript"/>
    </w:rPr>
  </w:style>
  <w:style w:type="character" w:customStyle="1" w:styleId="35">
    <w:name w:val="hover52"/>
    <w:basedOn w:val="17"/>
    <w:autoRedefine/>
    <w:qFormat/>
    <w:uiPriority w:val="0"/>
    <w:rPr>
      <w:color w:val="D61521"/>
    </w:rPr>
  </w:style>
  <w:style w:type="paragraph" w:customStyle="1" w:styleId="36">
    <w:name w:val="Table Paragraph"/>
    <w:basedOn w:val="1"/>
    <w:autoRedefine/>
    <w:qFormat/>
    <w:uiPriority w:val="1"/>
    <w:rPr>
      <w:rFonts w:ascii="宋体" w:hAnsi="宋体" w:eastAsia="宋体" w:cs="宋体"/>
      <w:lang w:val="zh-CN" w:bidi="zh-CN"/>
    </w:rPr>
  </w:style>
  <w:style w:type="character" w:customStyle="1" w:styleId="37">
    <w:name w:val="页眉 Char"/>
    <w:basedOn w:val="17"/>
    <w:link w:val="12"/>
    <w:autoRedefine/>
    <w:qFormat/>
    <w:uiPriority w:val="0"/>
    <w:rPr>
      <w:rFonts w:asciiTheme="minorHAnsi" w:hAnsiTheme="minorHAnsi" w:eastAsiaTheme="minorEastAsia" w:cstheme="minorBidi"/>
      <w:kern w:val="2"/>
      <w:sz w:val="18"/>
      <w:szCs w:val="18"/>
    </w:rPr>
  </w:style>
  <w:style w:type="paragraph" w:styleId="38">
    <w:name w:val="List Paragraph"/>
    <w:basedOn w:val="1"/>
    <w:autoRedefine/>
    <w:unhideWhenUsed/>
    <w:qFormat/>
    <w:uiPriority w:val="99"/>
    <w:pPr>
      <w:ind w:firstLine="420" w:firstLineChars="200"/>
    </w:pPr>
  </w:style>
  <w:style w:type="paragraph" w:customStyle="1" w:styleId="39">
    <w:name w:val="正文1"/>
    <w:basedOn w:val="1"/>
    <w:autoRedefine/>
    <w:qFormat/>
    <w:uiPriority w:val="0"/>
    <w:pPr>
      <w:spacing w:line="400" w:lineRule="exact"/>
    </w:pPr>
    <w:rPr>
      <w:rFonts w:ascii="宋体" w:hAnsi="宋体" w:cs="宋体"/>
      <w:b/>
      <w:bCs/>
      <w:color w:val="000000"/>
      <w:kern w:val="0"/>
      <w:szCs w:val="21"/>
    </w:rPr>
  </w:style>
  <w:style w:type="character" w:customStyle="1" w:styleId="40">
    <w:name w:val="NormalCharacter"/>
    <w:autoRedefine/>
    <w:semiHidden/>
    <w:qFormat/>
    <w:uiPriority w:val="0"/>
  </w:style>
  <w:style w:type="character" w:customStyle="1" w:styleId="41">
    <w:name w:val="批注框文本 Char"/>
    <w:basedOn w:val="17"/>
    <w:link w:val="10"/>
    <w:autoRedefine/>
    <w:qFormat/>
    <w:uiPriority w:val="0"/>
    <w:rPr>
      <w:rFonts w:asciiTheme="minorHAnsi" w:hAnsiTheme="minorHAnsi" w:eastAsiaTheme="minorEastAsia" w:cstheme="minorBidi"/>
      <w:kern w:val="2"/>
      <w:sz w:val="18"/>
      <w:szCs w:val="18"/>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6038</Words>
  <Characters>6555</Characters>
  <Lines>141</Lines>
  <Paragraphs>39</Paragraphs>
  <TotalTime>13</TotalTime>
  <ScaleCrop>false</ScaleCrop>
  <LinksUpToDate>false</LinksUpToDate>
  <CharactersWithSpaces>6801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2026-08-17T08:37:17Z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D0DA901EC04C4491860DA14BA7420F25_13</vt:lpwstr>
  </property>
  <property fmtid="{D5CDD505-2E9C-101B-9397-08002B2CF9AE}" pid="4" name="KSOTemplateDocerSaveRecord">
    <vt:lpwstr>eyJoZGlkIjoiODQ1N2I3OGFmYzhhZmVlYzE5NzU4OTRlOWE3OTk4OWYiLCJ1c2VySWQiOiIzMTExOTYxMzUifQ==</vt:lpwstr>
  </property>
</Properties>
</file>