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bookmarkStart w:id="171" w:name="_GoBack"/>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9.1养护设施设备</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p>
    <w:bookmarkEnd w:id="171"/>
    <w:p w14:paraId="25026D1C">
      <w:pPr>
        <w:widowControl/>
        <w:jc w:val="center"/>
        <w:rPr>
          <w:rFonts w:hint="default" w:ascii="Times New Roman" w:hAnsi="Times New Roman" w:eastAsia="宋体" w:cs="Times New Roman"/>
          <w:b/>
          <w:bCs/>
          <w:sz w:val="44"/>
          <w:szCs w:val="44"/>
        </w:rPr>
      </w:pPr>
    </w:p>
    <w:p w14:paraId="79612C86">
      <w:pPr>
        <w:pStyle w:val="2"/>
        <w:rPr>
          <w:rFonts w:hint="default" w:ascii="Times New Roman" w:hAnsi="Times New Roman" w:cs="Times New Roman"/>
          <w:szCs w:val="21"/>
        </w:rPr>
      </w:pPr>
    </w:p>
    <w:p w14:paraId="55053262">
      <w:pPr>
        <w:pStyle w:val="2"/>
        <w:rPr>
          <w:rFonts w:hint="default" w:ascii="Times New Roman" w:hAnsi="Times New Roman" w:cs="Times New Roman"/>
          <w:szCs w:val="21"/>
        </w:rPr>
      </w:pPr>
    </w:p>
    <w:p w14:paraId="52D027E8">
      <w:pPr>
        <w:pStyle w:val="2"/>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 xml:space="preserve">9 </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2"/>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3"/>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3"/>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10395_WPSOffice_Level2"/>
      <w:bookmarkStart w:id="3" w:name="_Toc525632585"/>
      <w:bookmarkStart w:id="4" w:name="_Toc6496_WPSOffice_Level2"/>
      <w:bookmarkStart w:id="5" w:name="_Toc12765"/>
      <w:bookmarkStart w:id="6" w:name="_Toc4489_WPSOffice_Level2"/>
      <w:bookmarkStart w:id="7" w:name="_Toc13871"/>
      <w:bookmarkStart w:id="8" w:name="_Toc24354_WPSOffice_Level2"/>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9.1养护设施设备</w:t>
      </w:r>
      <w:r>
        <w:rPr>
          <w:rFonts w:hint="default" w:ascii="Times New Roman" w:hAnsi="Times New Roman" w:cs="Times New Roman"/>
          <w:szCs w:val="22"/>
          <w:u w:val="single"/>
        </w:rPr>
        <w:t>采购项目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23266_WPSOffice_Level2"/>
      <w:bookmarkStart w:id="10" w:name="_Toc8128_WPSOffice_Level2"/>
      <w:bookmarkStart w:id="11" w:name="_Toc18453"/>
      <w:bookmarkStart w:id="12" w:name="_Toc10274"/>
      <w:bookmarkStart w:id="13" w:name="_Toc17858_WPSOffice_Level2"/>
      <w:bookmarkStart w:id="14" w:name="_Toc525632586"/>
      <w:bookmarkStart w:id="15" w:name="_Toc18367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防撞缓冲车1辆、撒布机1台、除雪铲5台、皮带运输机1台</w:t>
      </w:r>
    </w:p>
    <w:p w14:paraId="6B6C3C2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szCs w:val="22"/>
          <w:highlight w:val="none"/>
        </w:rPr>
        <w:t>合同包划分：</w:t>
      </w:r>
      <w:r>
        <w:rPr>
          <w:rFonts w:hint="default" w:ascii="Times New Roman" w:hAnsi="Times New Roman" w:cs="Times New Roman"/>
          <w:szCs w:val="22"/>
          <w:highlight w:val="none"/>
          <w:u w:val="single"/>
          <w:lang w:val="en-US" w:eastAsia="zh-CN"/>
        </w:rPr>
        <w:t>2个包；01包</w:t>
      </w:r>
      <w:r>
        <w:rPr>
          <w:rFonts w:hint="eastAsia" w:ascii="Times New Roman" w:hAnsi="Times New Roman" w:cs="Times New Roman"/>
          <w:szCs w:val="22"/>
          <w:highlight w:val="none"/>
          <w:u w:val="single"/>
          <w:lang w:val="en-US" w:eastAsia="zh-CN"/>
        </w:rPr>
        <w:t>防撞缓冲车</w:t>
      </w:r>
      <w:r>
        <w:rPr>
          <w:rFonts w:hint="default" w:ascii="Times New Roman" w:hAnsi="Times New Roman" w:cs="Times New Roman"/>
          <w:szCs w:val="22"/>
          <w:highlight w:val="none"/>
          <w:u w:val="single"/>
          <w:lang w:val="en-US" w:eastAsia="zh-CN"/>
        </w:rPr>
        <w:t>，02包</w:t>
      </w:r>
      <w:r>
        <w:rPr>
          <w:rFonts w:hint="eastAsia" w:ascii="Times New Roman" w:hAnsi="Times New Roman" w:cs="Times New Roman"/>
          <w:szCs w:val="22"/>
          <w:highlight w:val="none"/>
          <w:u w:val="single"/>
          <w:lang w:val="en-US" w:eastAsia="zh-CN"/>
        </w:rPr>
        <w:t>撒布机、除雪铲、皮带运输机</w:t>
      </w:r>
    </w:p>
    <w:p w14:paraId="6A6FD5C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2.5最高限价</w:t>
      </w:r>
      <w:r>
        <w:rPr>
          <w:rFonts w:hint="default" w:ascii="Times New Roman" w:hAnsi="Times New Roman" w:cs="Times New Roman"/>
          <w:szCs w:val="22"/>
          <w:highlight w:val="none"/>
          <w:u w:val="none"/>
        </w:rPr>
        <w:t>：</w:t>
      </w:r>
      <w:r>
        <w:rPr>
          <w:rFonts w:hint="eastAsia" w:ascii="Times New Roman" w:hAnsi="Times New Roman" w:cs="Times New Roman"/>
          <w:szCs w:val="22"/>
          <w:highlight w:val="none"/>
          <w:u w:val="single"/>
          <w:lang w:val="en-US" w:eastAsia="zh-CN"/>
        </w:rPr>
        <w:t>77</w:t>
      </w:r>
      <w:r>
        <w:rPr>
          <w:rFonts w:hint="default" w:ascii="Times New Roman" w:hAnsi="Times New Roman" w:cs="Times New Roman"/>
          <w:szCs w:val="22"/>
          <w:highlight w:val="none"/>
          <w:u w:val="single"/>
          <w:lang w:val="en-US" w:eastAsia="zh-CN"/>
        </w:rPr>
        <w:t>万元；01包限价</w:t>
      </w:r>
      <w:r>
        <w:rPr>
          <w:rFonts w:hint="eastAsia" w:ascii="Times New Roman" w:hAnsi="Times New Roman" w:cs="Times New Roman"/>
          <w:szCs w:val="22"/>
          <w:highlight w:val="none"/>
          <w:u w:val="single"/>
          <w:lang w:val="en-US" w:eastAsia="zh-CN"/>
        </w:rPr>
        <w:t>33</w:t>
      </w:r>
      <w:r>
        <w:rPr>
          <w:rFonts w:hint="default" w:ascii="Times New Roman" w:hAnsi="Times New Roman" w:cs="Times New Roman"/>
          <w:szCs w:val="22"/>
          <w:highlight w:val="none"/>
          <w:u w:val="single"/>
          <w:lang w:val="en-US" w:eastAsia="zh-CN"/>
        </w:rPr>
        <w:t>万元，02包限价</w:t>
      </w:r>
      <w:r>
        <w:rPr>
          <w:rFonts w:hint="eastAsia" w:ascii="Times New Roman" w:hAnsi="Times New Roman" w:cs="Times New Roman"/>
          <w:szCs w:val="22"/>
          <w:highlight w:val="none"/>
          <w:u w:val="single"/>
          <w:lang w:val="en-US" w:eastAsia="zh-CN"/>
        </w:rPr>
        <w:t>39</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lang w:val="en-US" w:eastAsia="zh-CN"/>
        </w:rPr>
        <w:t xml:space="preserve"> </w:t>
      </w:r>
    </w:p>
    <w:p w14:paraId="26D41C6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r>
        <w:rPr>
          <w:rFonts w:hint="eastAsia" w:ascii="Times New Roman" w:hAnsi="Times New Roman" w:cs="Times New Roman"/>
          <w:szCs w:val="22"/>
          <w:highlight w:val="none"/>
          <w:lang w:val="en-US" w:eastAsia="zh-CN"/>
        </w:rPr>
        <w:t xml:space="preserve"> </w:t>
      </w:r>
    </w:p>
    <w:p w14:paraId="5253CFFF">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1622_WPSOffice_Level2"/>
      <w:bookmarkStart w:id="20" w:name="_Toc3714"/>
      <w:bookmarkStart w:id="21" w:name="_Toc22379_WPSOffice_Level2"/>
      <w:bookmarkStart w:id="22" w:name="_Toc31673_WPSOffice_Level2"/>
      <w:bookmarkStart w:id="23" w:name="_Toc6388"/>
      <w:bookmarkStart w:id="24" w:name="_Toc29516_WPSOffice_Level2"/>
      <w:bookmarkStart w:id="25" w:name="_Toc525632587"/>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（设备</w:t>
      </w:r>
      <w:r>
        <w:rPr>
          <w:rFonts w:hint="eastAsia" w:ascii="Times New Roman" w:hAnsi="Times New Roman" w:cs="Times New Roman"/>
          <w:szCs w:val="22"/>
          <w:highlight w:val="none"/>
          <w:lang w:eastAsia="zh-CN"/>
        </w:rPr>
        <w:t>类产品必须提供</w:t>
      </w:r>
      <w:r>
        <w:rPr>
          <w:rFonts w:hint="default" w:ascii="Times New Roman" w:hAnsi="Times New Roman" w:eastAsia="宋体" w:cs="Times New Roman"/>
          <w:szCs w:val="21"/>
          <w:lang w:val="en-US" w:eastAsia="zh-CN"/>
        </w:rPr>
        <w:t>相应有效证明材料</w:t>
      </w:r>
      <w:r>
        <w:rPr>
          <w:rFonts w:hint="default" w:ascii="Times New Roman" w:hAnsi="Times New Roman" w:cs="Times New Roman"/>
          <w:szCs w:val="22"/>
          <w:highlight w:val="none"/>
          <w:lang w:eastAsia="zh-CN"/>
        </w:rPr>
        <w:t>）。</w:t>
      </w:r>
    </w:p>
    <w:p w14:paraId="3C4AA55F">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业绩最低要求：</w:t>
      </w:r>
    </w:p>
    <w:p w14:paraId="530C3E8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01包</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default" w:ascii="Times New Roman" w:hAnsi="Times New Roman" w:cs="Times New Roman"/>
          <w:szCs w:val="22"/>
          <w:highlight w:val="none"/>
          <w:lang w:val="en-US" w:eastAsia="zh-CN"/>
        </w:rPr>
        <w:t>采购产品</w:t>
      </w:r>
    </w:p>
    <w:p w14:paraId="795C114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合同金额不少于30万元供货业绩。代理商可使用所代理设备制造商的供货业绩。</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eastAsia" w:ascii="Times New Roman" w:hAnsi="Times New Roman" w:cs="Times New Roman"/>
          <w:szCs w:val="22"/>
          <w:highlight w:val="none"/>
          <w:lang w:val="en-US" w:eastAsia="zh-CN"/>
        </w:rPr>
        <w:t>02包</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累计合同金额不少于40万元供货业绩。代理商可使用所代理设备制造商的供货业绩。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4109_WPSOffice_Level2"/>
      <w:bookmarkStart w:id="27" w:name="_Toc525632588"/>
      <w:bookmarkStart w:id="28" w:name="_Toc4751"/>
      <w:bookmarkStart w:id="29" w:name="_Toc29452_WPSOffice_Level2"/>
      <w:bookmarkStart w:id="30" w:name="_Toc2996_WPSOffice_Level2"/>
      <w:bookmarkStart w:id="31" w:name="_Toc25666_WPSOffice_Level2"/>
      <w:bookmarkStart w:id="32" w:name="_Toc1994"/>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726"/>
      <w:bookmarkStart w:id="34" w:name="_Toc525632589"/>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8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525632591"/>
      <w:bookmarkStart w:id="36" w:name="_Toc22719"/>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2"/>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7</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4"/>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26829"/>
      <w:bookmarkStart w:id="38" w:name="_Toc321_WPSOffice_Level2"/>
      <w:bookmarkStart w:id="39" w:name="_Toc525632592"/>
      <w:bookmarkStart w:id="40" w:name="_Toc14943_WPSOffice_Level2"/>
      <w:bookmarkStart w:id="41" w:name="_Toc28571_WPSOffice_Level2"/>
      <w:bookmarkStart w:id="42" w:name="_Toc20572_WPSOffice_Level2"/>
      <w:bookmarkStart w:id="43" w:name="_Toc8501"/>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1</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2"/>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2"/>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4"/>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4"/>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default" w:ascii="Times New Roman" w:hAnsi="Times New Roman" w:cs="Times New Roman"/>
          <w:lang w:val="en-US" w:eastAsia="zh-CN"/>
        </w:rPr>
        <w:t>2个包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26656960"/>
      <w:bookmarkStart w:id="45" w:name="_Toc14201229"/>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14201241"/>
      <w:bookmarkStart w:id="51" w:name="_Toc9067725"/>
      <w:bookmarkStart w:id="52" w:name="_Toc26656972"/>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26656973"/>
      <w:bookmarkStart w:id="54" w:name="_Toc14201242"/>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14201244"/>
      <w:bookmarkStart w:id="56" w:name="_Toc26656975"/>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14201246"/>
      <w:bookmarkStart w:id="61" w:name="_Toc26656977"/>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14201253"/>
      <w:bookmarkStart w:id="67" w:name="_Toc26656984"/>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14201257"/>
      <w:bookmarkStart w:id="69" w:name="_Toc9067727"/>
      <w:bookmarkStart w:id="70" w:name="_Toc26656988"/>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26656993"/>
      <w:bookmarkStart w:id="72" w:name="_Toc14201262"/>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14201263"/>
      <w:bookmarkStart w:id="74" w:name="_Toc9067731"/>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val="en-US" w:eastAsia="zh-CN"/>
              </w:rPr>
              <w:t>2个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2"/>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2"/>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3"/>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6"/>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7"/>
        <w:rPr>
          <w:rFonts w:hint="default" w:ascii="Times New Roman" w:hAnsi="Times New Roman" w:cs="Times New Roman"/>
          <w:szCs w:val="21"/>
        </w:rPr>
      </w:pPr>
    </w:p>
    <w:p w14:paraId="6B00AAE2">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7"/>
        <w:rPr>
          <w:rFonts w:hint="default" w:ascii="Times New Roman" w:hAnsi="Times New Roman" w:cs="Times New Roman"/>
          <w:szCs w:val="21"/>
        </w:rPr>
      </w:pPr>
    </w:p>
    <w:p w14:paraId="35803A3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7"/>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2"/>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4"/>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3"/>
        <w:numPr>
          <w:ilvl w:val="0"/>
          <w:numId w:val="5"/>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01916522">
      <w:pPr>
        <w:autoSpaceDE w:val="0"/>
        <w:spacing w:line="240" w:lineRule="auto"/>
        <w:jc w:val="center"/>
        <w:outlineLvl w:val="0"/>
        <w:rPr>
          <w:rFonts w:hint="eastAsia" w:ascii="Times New Roman" w:hAnsi="Times New Roman" w:eastAsia="宋体" w:cs="Times New Roman"/>
          <w:b/>
          <w:sz w:val="21"/>
          <w:szCs w:val="21"/>
          <w:lang w:val="en-US" w:eastAsia="zh-CN"/>
        </w:rPr>
      </w:pPr>
      <w:bookmarkStart w:id="79" w:name="_Toc101186772"/>
      <w:bookmarkStart w:id="80" w:name="_Toc9834_WPSOffice_Level1"/>
      <w:r>
        <w:rPr>
          <w:rFonts w:hint="eastAsia" w:ascii="Times New Roman" w:hAnsi="Times New Roman" w:eastAsia="宋体" w:cs="Times New Roman"/>
          <w:b/>
          <w:sz w:val="21"/>
          <w:szCs w:val="21"/>
          <w:lang w:val="en-US" w:eastAsia="zh-CN"/>
        </w:rPr>
        <w:t>防撞缓冲车技术性能指标要求</w:t>
      </w:r>
    </w:p>
    <w:tbl>
      <w:tblPr>
        <w:tblStyle w:val="15"/>
        <w:tblpPr w:leftFromText="180" w:rightFromText="180" w:vertAnchor="text" w:horzAnchor="page" w:tblpXSpec="center" w:tblpY="826"/>
        <w:tblOverlap w:val="never"/>
        <w:tblW w:w="500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88"/>
        <w:gridCol w:w="2019"/>
        <w:gridCol w:w="4621"/>
      </w:tblGrid>
      <w:tr w14:paraId="4489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shd w:val="clear" w:color="auto" w:fill="auto"/>
            <w:noWrap w:val="0"/>
            <w:vAlign w:val="center"/>
          </w:tcPr>
          <w:p w14:paraId="5291E874">
            <w:pPr>
              <w:spacing w:line="240" w:lineRule="auto"/>
              <w:jc w:val="center"/>
              <w:rPr>
                <w:rFonts w:hint="eastAsia" w:ascii="宋体" w:hAnsi="宋体" w:eastAsia="宋体" w:cs="宋体"/>
                <w:b/>
                <w:spacing w:val="17"/>
                <w:sz w:val="21"/>
                <w:szCs w:val="21"/>
                <w:lang w:val="en-US" w:eastAsia="zh-CN" w:bidi="ar-SA"/>
              </w:rPr>
            </w:pPr>
            <w:r>
              <w:rPr>
                <w:rFonts w:hint="eastAsia" w:ascii="宋体" w:hAnsi="宋体" w:eastAsia="宋体" w:cs="宋体"/>
                <w:b/>
                <w:sz w:val="21"/>
                <w:szCs w:val="21"/>
              </w:rPr>
              <w:t>技术参数名称</w:t>
            </w:r>
          </w:p>
        </w:tc>
        <w:tc>
          <w:tcPr>
            <w:tcW w:w="3986" w:type="pct"/>
            <w:gridSpan w:val="2"/>
            <w:shd w:val="clear" w:color="auto" w:fill="auto"/>
            <w:noWrap w:val="0"/>
            <w:vAlign w:val="center"/>
          </w:tcPr>
          <w:p w14:paraId="50B9867A">
            <w:pPr>
              <w:spacing w:line="240" w:lineRule="auto"/>
              <w:jc w:val="center"/>
              <w:rPr>
                <w:rFonts w:hint="eastAsia" w:ascii="宋体" w:hAnsi="宋体" w:eastAsia="宋体" w:cs="宋体"/>
                <w:b/>
                <w:spacing w:val="17"/>
                <w:sz w:val="21"/>
                <w:szCs w:val="21"/>
                <w:lang w:val="en-US" w:eastAsia="zh-CN" w:bidi="ar-SA"/>
              </w:rPr>
            </w:pPr>
            <w:r>
              <w:rPr>
                <w:rFonts w:hint="eastAsia" w:ascii="宋体" w:hAnsi="宋体" w:eastAsia="宋体" w:cs="宋体"/>
                <w:b/>
                <w:sz w:val="21"/>
                <w:szCs w:val="21"/>
              </w:rPr>
              <w:t>技术参数指标（买方要求）</w:t>
            </w:r>
          </w:p>
        </w:tc>
      </w:tr>
      <w:tr w14:paraId="29154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atLeast"/>
          <w:jc w:val="center"/>
        </w:trPr>
        <w:tc>
          <w:tcPr>
            <w:tcW w:w="1013" w:type="pct"/>
            <w:noWrap w:val="0"/>
            <w:vAlign w:val="center"/>
          </w:tcPr>
          <w:p w14:paraId="20C2A845">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lang w:val="en-US" w:eastAsia="zh-CN"/>
              </w:rPr>
              <w:t>整车</w:t>
            </w:r>
          </w:p>
        </w:tc>
        <w:tc>
          <w:tcPr>
            <w:tcW w:w="3986" w:type="pct"/>
            <w:gridSpan w:val="2"/>
            <w:noWrap w:val="0"/>
            <w:vAlign w:val="center"/>
          </w:tcPr>
          <w:p w14:paraId="71D7C947">
            <w:pPr>
              <w:spacing w:line="240" w:lineRule="auto"/>
              <w:jc w:val="center"/>
              <w:rPr>
                <w:rFonts w:hint="default"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投标车辆符合国家《机动车运行安全技术条件》，产品为国家发改委或工业和信息化部《车辆生产企业及产品公告》产品。产品具有3C认证。车辆颜色为工程黄色。</w:t>
            </w:r>
          </w:p>
        </w:tc>
      </w:tr>
      <w:tr w14:paraId="2AC97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1013" w:type="pct"/>
            <w:noWrap w:val="0"/>
            <w:vAlign w:val="center"/>
          </w:tcPr>
          <w:p w14:paraId="6DF612CC">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底盘</w:t>
            </w:r>
          </w:p>
        </w:tc>
        <w:tc>
          <w:tcPr>
            <w:tcW w:w="3986" w:type="pct"/>
            <w:gridSpan w:val="2"/>
            <w:noWrap w:val="0"/>
            <w:vAlign w:val="center"/>
          </w:tcPr>
          <w:p w14:paraId="2BF062CC">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采用江淮、东风或同档次及以上底盘。</w:t>
            </w:r>
          </w:p>
          <w:p w14:paraId="32FB40EB">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应采用排半驾驶室、配有冷暖空调、多功能方向盘、ABS刹车。</w:t>
            </w:r>
          </w:p>
        </w:tc>
      </w:tr>
      <w:tr w14:paraId="654C0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restart"/>
            <w:noWrap w:val="0"/>
            <w:vAlign w:val="center"/>
          </w:tcPr>
          <w:p w14:paraId="50B14EB7">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底盘参数</w:t>
            </w:r>
          </w:p>
        </w:tc>
        <w:tc>
          <w:tcPr>
            <w:tcW w:w="1212" w:type="pct"/>
            <w:noWrap w:val="0"/>
            <w:vAlign w:val="center"/>
          </w:tcPr>
          <w:p w14:paraId="321D25ED">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排放标准</w:t>
            </w:r>
          </w:p>
        </w:tc>
        <w:tc>
          <w:tcPr>
            <w:tcW w:w="2773" w:type="pct"/>
            <w:noWrap w:val="0"/>
            <w:vAlign w:val="center"/>
          </w:tcPr>
          <w:p w14:paraId="1ECD8AD7">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lang w:val="en-US" w:eastAsia="zh-CN"/>
              </w:rPr>
              <w:t>GB17691-2018国Ⅵ</w:t>
            </w:r>
          </w:p>
        </w:tc>
      </w:tr>
      <w:tr w14:paraId="57661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7D307005">
            <w:pPr>
              <w:spacing w:line="240" w:lineRule="auto"/>
              <w:jc w:val="center"/>
              <w:rPr>
                <w:rFonts w:hint="eastAsia" w:asciiTheme="minorEastAsia" w:hAnsiTheme="minorEastAsia" w:eastAsiaTheme="minorEastAsia" w:cstheme="minorEastAsia"/>
                <w:spacing w:val="0"/>
                <w:kern w:val="2"/>
                <w:sz w:val="21"/>
                <w:szCs w:val="21"/>
                <w:lang w:val="en-US" w:eastAsia="zh-CN"/>
              </w:rPr>
            </w:pPr>
          </w:p>
        </w:tc>
        <w:tc>
          <w:tcPr>
            <w:tcW w:w="1212" w:type="pct"/>
            <w:noWrap w:val="0"/>
            <w:vAlign w:val="center"/>
          </w:tcPr>
          <w:p w14:paraId="75EB3597">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rPr>
              <w:t>整车长*宽*高（mm）</w:t>
            </w:r>
          </w:p>
        </w:tc>
        <w:tc>
          <w:tcPr>
            <w:tcW w:w="2773" w:type="pct"/>
            <w:noWrap w:val="0"/>
            <w:vAlign w:val="center"/>
          </w:tcPr>
          <w:p w14:paraId="18F63B4C">
            <w:pPr>
              <w:spacing w:line="240" w:lineRule="auto"/>
              <w:jc w:val="center"/>
              <w:rPr>
                <w:rFonts w:hint="default"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7500*2490*2950</w:t>
            </w:r>
          </w:p>
        </w:tc>
      </w:tr>
      <w:tr w14:paraId="58EE1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0FE9B03F">
            <w:pPr>
              <w:spacing w:line="240" w:lineRule="auto"/>
              <w:jc w:val="center"/>
              <w:rPr>
                <w:rFonts w:hint="eastAsia" w:asciiTheme="minorEastAsia" w:hAnsiTheme="minorEastAsia" w:eastAsiaTheme="minorEastAsia" w:cstheme="minorEastAsia"/>
                <w:spacing w:val="0"/>
                <w:kern w:val="2"/>
                <w:sz w:val="21"/>
                <w:szCs w:val="21"/>
                <w:lang w:val="en-US"/>
              </w:rPr>
            </w:pPr>
          </w:p>
        </w:tc>
        <w:tc>
          <w:tcPr>
            <w:tcW w:w="1212" w:type="pct"/>
            <w:noWrap w:val="0"/>
            <w:vAlign w:val="center"/>
          </w:tcPr>
          <w:p w14:paraId="71DBA97E">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整车最大总质量（kg）</w:t>
            </w:r>
          </w:p>
        </w:tc>
        <w:tc>
          <w:tcPr>
            <w:tcW w:w="2773" w:type="pct"/>
            <w:noWrap w:val="0"/>
            <w:vAlign w:val="center"/>
          </w:tcPr>
          <w:p w14:paraId="6EEF8BF2">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12390</w:t>
            </w:r>
          </w:p>
        </w:tc>
      </w:tr>
      <w:tr w14:paraId="1E071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2FBA4B47">
            <w:pPr>
              <w:spacing w:line="240" w:lineRule="auto"/>
              <w:jc w:val="center"/>
              <w:rPr>
                <w:rFonts w:hint="eastAsia" w:asciiTheme="minorEastAsia" w:hAnsiTheme="minorEastAsia" w:eastAsiaTheme="minorEastAsia" w:cstheme="minorEastAsia"/>
                <w:spacing w:val="0"/>
                <w:kern w:val="2"/>
                <w:sz w:val="21"/>
                <w:szCs w:val="21"/>
                <w:lang w:val="en-US"/>
              </w:rPr>
            </w:pPr>
          </w:p>
        </w:tc>
        <w:tc>
          <w:tcPr>
            <w:tcW w:w="1212" w:type="pct"/>
            <w:noWrap w:val="0"/>
            <w:vAlign w:val="center"/>
          </w:tcPr>
          <w:p w14:paraId="2132CD6A">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轴距（mm）</w:t>
            </w:r>
          </w:p>
        </w:tc>
        <w:tc>
          <w:tcPr>
            <w:tcW w:w="2773" w:type="pct"/>
            <w:noWrap w:val="0"/>
            <w:vAlign w:val="center"/>
          </w:tcPr>
          <w:p w14:paraId="7950EAF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3900</w:t>
            </w:r>
          </w:p>
        </w:tc>
      </w:tr>
      <w:tr w14:paraId="0D79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14C7D76F">
            <w:pPr>
              <w:spacing w:line="240" w:lineRule="auto"/>
              <w:jc w:val="center"/>
              <w:rPr>
                <w:rFonts w:hint="eastAsia" w:asciiTheme="minorEastAsia" w:hAnsiTheme="minorEastAsia" w:eastAsiaTheme="minorEastAsia" w:cstheme="minorEastAsia"/>
                <w:spacing w:val="0"/>
                <w:kern w:val="2"/>
                <w:sz w:val="21"/>
                <w:szCs w:val="21"/>
                <w:lang w:val="en-US"/>
              </w:rPr>
            </w:pPr>
          </w:p>
        </w:tc>
        <w:tc>
          <w:tcPr>
            <w:tcW w:w="1212" w:type="pct"/>
            <w:noWrap w:val="0"/>
            <w:vAlign w:val="center"/>
          </w:tcPr>
          <w:p w14:paraId="3367C5CA">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整备重量（kg）</w:t>
            </w:r>
          </w:p>
        </w:tc>
        <w:tc>
          <w:tcPr>
            <w:tcW w:w="2773" w:type="pct"/>
            <w:noWrap w:val="0"/>
            <w:vAlign w:val="center"/>
          </w:tcPr>
          <w:p w14:paraId="58139AD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12000</w:t>
            </w:r>
          </w:p>
        </w:tc>
      </w:tr>
      <w:tr w14:paraId="4FE90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67846572">
            <w:pPr>
              <w:spacing w:line="240" w:lineRule="auto"/>
              <w:jc w:val="center"/>
              <w:rPr>
                <w:rFonts w:hint="eastAsia" w:asciiTheme="minorEastAsia" w:hAnsiTheme="minorEastAsia" w:eastAsiaTheme="minorEastAsia" w:cstheme="minorEastAsia"/>
                <w:spacing w:val="0"/>
                <w:kern w:val="2"/>
                <w:sz w:val="21"/>
                <w:szCs w:val="21"/>
                <w:lang w:val="en-US"/>
              </w:rPr>
            </w:pPr>
          </w:p>
        </w:tc>
        <w:tc>
          <w:tcPr>
            <w:tcW w:w="1212" w:type="pct"/>
            <w:noWrap w:val="0"/>
            <w:vAlign w:val="center"/>
          </w:tcPr>
          <w:p w14:paraId="1A183F8D">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驾驶室</w:t>
            </w:r>
            <w:r>
              <w:rPr>
                <w:rFonts w:hint="eastAsia" w:asciiTheme="minorEastAsia" w:hAnsiTheme="minorEastAsia" w:eastAsiaTheme="minorEastAsia" w:cstheme="minorEastAsia"/>
                <w:spacing w:val="0"/>
                <w:kern w:val="2"/>
                <w:sz w:val="21"/>
                <w:szCs w:val="21"/>
                <w:lang w:val="en-US" w:eastAsia="zh-CN"/>
              </w:rPr>
              <w:t>准乘人数（人）</w:t>
            </w:r>
          </w:p>
        </w:tc>
        <w:tc>
          <w:tcPr>
            <w:tcW w:w="2773" w:type="pct"/>
            <w:noWrap w:val="0"/>
            <w:vAlign w:val="center"/>
          </w:tcPr>
          <w:p w14:paraId="76221380">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3</w:t>
            </w:r>
          </w:p>
        </w:tc>
      </w:tr>
      <w:tr w14:paraId="4D764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5CE8D313">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7A9EBBE1">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发动机品牌</w:t>
            </w:r>
          </w:p>
        </w:tc>
        <w:tc>
          <w:tcPr>
            <w:tcW w:w="2773" w:type="pct"/>
            <w:noWrap w:val="0"/>
            <w:vAlign w:val="center"/>
          </w:tcPr>
          <w:p w14:paraId="00B5E16E">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康明斯发动机</w:t>
            </w:r>
          </w:p>
        </w:tc>
      </w:tr>
      <w:tr w14:paraId="0D3A6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75B45E5C">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00760C9F">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发动机功率</w:t>
            </w:r>
            <w:r>
              <w:rPr>
                <w:rFonts w:hint="eastAsia" w:asciiTheme="minorEastAsia" w:hAnsiTheme="minorEastAsia" w:eastAsiaTheme="minorEastAsia" w:cstheme="minorEastAsia"/>
                <w:spacing w:val="0"/>
                <w:kern w:val="2"/>
                <w:sz w:val="21"/>
                <w:szCs w:val="21"/>
                <w:lang w:eastAsia="zh-CN"/>
              </w:rPr>
              <w:t>（</w:t>
            </w:r>
            <w:r>
              <w:rPr>
                <w:rFonts w:hint="eastAsia" w:asciiTheme="minorEastAsia" w:hAnsiTheme="minorEastAsia" w:eastAsiaTheme="minorEastAsia" w:cstheme="minorEastAsia"/>
                <w:spacing w:val="0"/>
                <w:kern w:val="2"/>
                <w:sz w:val="21"/>
                <w:szCs w:val="21"/>
              </w:rPr>
              <w:t>kw）</w:t>
            </w:r>
          </w:p>
        </w:tc>
        <w:tc>
          <w:tcPr>
            <w:tcW w:w="2773" w:type="pct"/>
            <w:noWrap w:val="0"/>
            <w:vAlign w:val="center"/>
          </w:tcPr>
          <w:p w14:paraId="11CB7EFD">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143</w:t>
            </w:r>
          </w:p>
        </w:tc>
      </w:tr>
      <w:tr w14:paraId="32387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56265280">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70BE899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排量（ml）</w:t>
            </w:r>
          </w:p>
        </w:tc>
        <w:tc>
          <w:tcPr>
            <w:tcW w:w="2773" w:type="pct"/>
            <w:noWrap w:val="0"/>
            <w:vAlign w:val="center"/>
          </w:tcPr>
          <w:p w14:paraId="64999AF3">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4000</w:t>
            </w:r>
          </w:p>
        </w:tc>
      </w:tr>
      <w:tr w14:paraId="053FD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13237160">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5A1DD067">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底盘</w:t>
            </w:r>
          </w:p>
        </w:tc>
        <w:tc>
          <w:tcPr>
            <w:tcW w:w="2773" w:type="pct"/>
            <w:noWrap w:val="0"/>
            <w:vAlign w:val="center"/>
          </w:tcPr>
          <w:p w14:paraId="05B6601B">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东风</w:t>
            </w:r>
          </w:p>
        </w:tc>
      </w:tr>
      <w:tr w14:paraId="50D58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2D17A5C1">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0C3AC709">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底盘名称</w:t>
            </w:r>
          </w:p>
        </w:tc>
        <w:tc>
          <w:tcPr>
            <w:tcW w:w="2773" w:type="pct"/>
            <w:noWrap w:val="0"/>
            <w:vAlign w:val="center"/>
          </w:tcPr>
          <w:p w14:paraId="1415C73D">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载货汽车底盘</w:t>
            </w:r>
          </w:p>
        </w:tc>
      </w:tr>
      <w:tr w14:paraId="1E1BD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7410427F">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1D464773">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最高速度（km/h）</w:t>
            </w:r>
          </w:p>
        </w:tc>
        <w:tc>
          <w:tcPr>
            <w:tcW w:w="2773" w:type="pct"/>
            <w:noWrap w:val="0"/>
            <w:vAlign w:val="center"/>
          </w:tcPr>
          <w:p w14:paraId="0AE606A2">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105</w:t>
            </w:r>
          </w:p>
        </w:tc>
      </w:tr>
      <w:tr w14:paraId="26B36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3B61FEC1">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4D6668F1">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rPr>
              <w:t>燃油类型</w:t>
            </w:r>
          </w:p>
        </w:tc>
        <w:tc>
          <w:tcPr>
            <w:tcW w:w="2773" w:type="pct"/>
            <w:noWrap w:val="0"/>
            <w:vAlign w:val="center"/>
          </w:tcPr>
          <w:p w14:paraId="0A9FBF01">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柴油</w:t>
            </w:r>
          </w:p>
        </w:tc>
      </w:tr>
      <w:tr w14:paraId="7F862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restart"/>
            <w:noWrap w:val="0"/>
            <w:vAlign w:val="center"/>
          </w:tcPr>
          <w:p w14:paraId="0B3DA916">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防撞缓冲垫参数及要求</w:t>
            </w:r>
          </w:p>
        </w:tc>
        <w:tc>
          <w:tcPr>
            <w:tcW w:w="1212" w:type="pct"/>
            <w:noWrap w:val="0"/>
            <w:vAlign w:val="center"/>
          </w:tcPr>
          <w:p w14:paraId="4231CD8E">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防撞能力</w:t>
            </w:r>
          </w:p>
        </w:tc>
        <w:tc>
          <w:tcPr>
            <w:tcW w:w="2773" w:type="pct"/>
            <w:noWrap w:val="0"/>
            <w:vAlign w:val="center"/>
          </w:tcPr>
          <w:p w14:paraId="51221011">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符合MASH2016标准</w:t>
            </w:r>
          </w:p>
        </w:tc>
      </w:tr>
      <w:tr w14:paraId="1458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0C226CDC">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50F75B2B">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缓冲垫长度（mm）</w:t>
            </w:r>
          </w:p>
        </w:tc>
        <w:tc>
          <w:tcPr>
            <w:tcW w:w="2773" w:type="pct"/>
            <w:noWrap w:val="0"/>
            <w:vAlign w:val="center"/>
          </w:tcPr>
          <w:p w14:paraId="096A04A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3100（可定制）</w:t>
            </w:r>
          </w:p>
        </w:tc>
      </w:tr>
      <w:tr w14:paraId="3FBDA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4216513A">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5E99D9A4">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缓冲垫宽度（mm）</w:t>
            </w:r>
          </w:p>
        </w:tc>
        <w:tc>
          <w:tcPr>
            <w:tcW w:w="2773" w:type="pct"/>
            <w:noWrap w:val="0"/>
            <w:vAlign w:val="center"/>
          </w:tcPr>
          <w:p w14:paraId="5032ACDC">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2100（可定制）</w:t>
            </w:r>
          </w:p>
        </w:tc>
      </w:tr>
      <w:tr w14:paraId="6C16F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4C50D446">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3EE875AC">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lang w:val="en-US" w:eastAsia="zh-CN"/>
              </w:rPr>
              <w:t>缓冲垫厚度（mm）</w:t>
            </w:r>
          </w:p>
        </w:tc>
        <w:tc>
          <w:tcPr>
            <w:tcW w:w="2773" w:type="pct"/>
            <w:noWrap w:val="0"/>
            <w:vAlign w:val="center"/>
          </w:tcPr>
          <w:p w14:paraId="29219C72">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660（可定制）</w:t>
            </w:r>
          </w:p>
        </w:tc>
      </w:tr>
      <w:tr w14:paraId="4296C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766B47AA">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6C2A954D">
            <w:pPr>
              <w:spacing w:line="240" w:lineRule="auto"/>
              <w:jc w:val="center"/>
              <w:rPr>
                <w:rFonts w:hint="eastAsia" w:asciiTheme="minorEastAsia" w:hAnsiTheme="minorEastAsia" w:eastAsiaTheme="minorEastAsia" w:cstheme="minorEastAsia"/>
                <w:spacing w:val="0"/>
                <w:kern w:val="2"/>
                <w:sz w:val="21"/>
                <w:szCs w:val="21"/>
              </w:rPr>
            </w:pPr>
            <w:r>
              <w:rPr>
                <w:rFonts w:hint="eastAsia" w:asciiTheme="minorEastAsia" w:hAnsiTheme="minorEastAsia" w:eastAsiaTheme="minorEastAsia" w:cstheme="minorEastAsia"/>
                <w:spacing w:val="0"/>
                <w:kern w:val="2"/>
                <w:sz w:val="21"/>
                <w:szCs w:val="21"/>
                <w:lang w:val="en-US" w:eastAsia="zh-CN"/>
              </w:rPr>
              <w:t>离地间隙（mm）</w:t>
            </w:r>
          </w:p>
        </w:tc>
        <w:tc>
          <w:tcPr>
            <w:tcW w:w="2773" w:type="pct"/>
            <w:noWrap w:val="0"/>
            <w:vAlign w:val="center"/>
          </w:tcPr>
          <w:p w14:paraId="10747219">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280</w:t>
            </w:r>
          </w:p>
        </w:tc>
      </w:tr>
      <w:tr w14:paraId="43D66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1013" w:type="pct"/>
            <w:vMerge w:val="continue"/>
            <w:noWrap w:val="0"/>
            <w:vAlign w:val="center"/>
          </w:tcPr>
          <w:p w14:paraId="3E2415A9">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1273068B">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防撞等级及证明资料</w:t>
            </w:r>
          </w:p>
        </w:tc>
        <w:tc>
          <w:tcPr>
            <w:tcW w:w="2773" w:type="pct"/>
            <w:noWrap w:val="0"/>
            <w:vAlign w:val="center"/>
          </w:tcPr>
          <w:p w14:paraId="01D27ED1">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100K,具有符合 MASH2016 标准要求的碰撞测试（检验）报告</w:t>
            </w:r>
          </w:p>
        </w:tc>
      </w:tr>
      <w:tr w14:paraId="00465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jc w:val="center"/>
        </w:trPr>
        <w:tc>
          <w:tcPr>
            <w:tcW w:w="1013" w:type="pct"/>
            <w:vMerge w:val="continue"/>
            <w:noWrap w:val="0"/>
            <w:vAlign w:val="center"/>
          </w:tcPr>
          <w:p w14:paraId="4E39E189">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05BB6167">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外观结构</w:t>
            </w:r>
          </w:p>
        </w:tc>
        <w:tc>
          <w:tcPr>
            <w:tcW w:w="2773" w:type="pct"/>
            <w:noWrap w:val="0"/>
            <w:vAlign w:val="center"/>
          </w:tcPr>
          <w:p w14:paraId="616C8FCC">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主吸能部分采用黄色喷涂，外部具</w:t>
            </w:r>
          </w:p>
          <w:p w14:paraId="364E04D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有外扩型导向框架在发生碰撞时</w:t>
            </w:r>
          </w:p>
          <w:p w14:paraId="57AF503F">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为汽车后补尾角区域提供保护，防</w:t>
            </w:r>
          </w:p>
          <w:p w14:paraId="10F048AF">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止小车钻入到前车尾部，降低撞击</w:t>
            </w:r>
          </w:p>
          <w:p w14:paraId="1638451A">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风险等级。</w:t>
            </w:r>
          </w:p>
        </w:tc>
      </w:tr>
      <w:tr w14:paraId="45BA6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4" w:hRule="atLeast"/>
          <w:jc w:val="center"/>
        </w:trPr>
        <w:tc>
          <w:tcPr>
            <w:tcW w:w="1013" w:type="pct"/>
            <w:vMerge w:val="continue"/>
            <w:noWrap w:val="0"/>
            <w:vAlign w:val="center"/>
          </w:tcPr>
          <w:p w14:paraId="03850C1E">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075005ED">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防撞垫结构形式</w:t>
            </w:r>
          </w:p>
        </w:tc>
        <w:tc>
          <w:tcPr>
            <w:tcW w:w="2773" w:type="pct"/>
            <w:noWrap w:val="0"/>
            <w:vAlign w:val="center"/>
          </w:tcPr>
          <w:p w14:paraId="728696EF">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防撞缓冲垫具有双层防撞结构，配备迎撞板和8根弧形铝管，轻微撞击，仅需更换外层结构；外壳采用轻质铝合金材料制成，中间填充有航空级铝合金蜂窝吸能材料。</w:t>
            </w:r>
          </w:p>
        </w:tc>
      </w:tr>
      <w:tr w14:paraId="1CFC2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jc w:val="center"/>
        </w:trPr>
        <w:tc>
          <w:tcPr>
            <w:tcW w:w="1013" w:type="pct"/>
            <w:vMerge w:val="continue"/>
            <w:noWrap w:val="0"/>
            <w:vAlign w:val="center"/>
          </w:tcPr>
          <w:p w14:paraId="1A70508C">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60B0E89D">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性能要求</w:t>
            </w:r>
          </w:p>
        </w:tc>
        <w:tc>
          <w:tcPr>
            <w:tcW w:w="2773" w:type="pct"/>
            <w:noWrap w:val="0"/>
            <w:vAlign w:val="center"/>
          </w:tcPr>
          <w:p w14:paraId="6C68BA7A">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1.防撞缓冲垫具有两级吸能功效，可满足低速撞击下外部零部件具有快速替换功能。                       2.在碰撞过程中，防撞缓冲垫所有吸能材料和变形部件均被有效包裹在防撞缓冲垫内，不会有任何材料飞溅到其他相邻车道的情况。</w:t>
            </w:r>
          </w:p>
        </w:tc>
      </w:tr>
      <w:tr w14:paraId="4E65C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1013" w:type="pct"/>
            <w:vMerge w:val="continue"/>
            <w:noWrap w:val="0"/>
            <w:vAlign w:val="center"/>
          </w:tcPr>
          <w:p w14:paraId="5EADD10F">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337BD801">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质量保证</w:t>
            </w:r>
          </w:p>
        </w:tc>
        <w:tc>
          <w:tcPr>
            <w:tcW w:w="2773" w:type="pct"/>
            <w:noWrap w:val="0"/>
            <w:vAlign w:val="center"/>
          </w:tcPr>
          <w:p w14:paraId="1FFDB892">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防撞缓冲垫具有知名保险公司进行质量承保</w:t>
            </w:r>
          </w:p>
        </w:tc>
      </w:tr>
      <w:tr w14:paraId="6C5D1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atLeast"/>
          <w:jc w:val="center"/>
        </w:trPr>
        <w:tc>
          <w:tcPr>
            <w:tcW w:w="1013" w:type="pct"/>
            <w:vMerge w:val="continue"/>
            <w:noWrap w:val="0"/>
            <w:vAlign w:val="center"/>
          </w:tcPr>
          <w:p w14:paraId="1DCF9601">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7BA8956B">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警示灯光要求</w:t>
            </w:r>
          </w:p>
        </w:tc>
        <w:tc>
          <w:tcPr>
            <w:tcW w:w="2773" w:type="pct"/>
            <w:noWrap w:val="0"/>
            <w:vAlign w:val="center"/>
          </w:tcPr>
          <w:p w14:paraId="0F08B3F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防撞缓冲垫工作及行驶过程中均具备同步灯光系统（转向灯、刹车灯、行车灯、雾灯、示廓灯、侧标示灯）</w:t>
            </w:r>
          </w:p>
        </w:tc>
      </w:tr>
      <w:tr w14:paraId="4CA32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1013" w:type="pct"/>
            <w:vMerge w:val="continue"/>
            <w:noWrap w:val="0"/>
            <w:vAlign w:val="center"/>
          </w:tcPr>
          <w:p w14:paraId="501F3DC7">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120DD599">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驱动形式</w:t>
            </w:r>
          </w:p>
        </w:tc>
        <w:tc>
          <w:tcPr>
            <w:tcW w:w="2773" w:type="pct"/>
            <w:noWrap w:val="0"/>
            <w:vAlign w:val="center"/>
          </w:tcPr>
          <w:p w14:paraId="0C490827">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采用直流电驱动的液压系统，通过液压油缸操作升降，升降操作可以遥控进行；</w:t>
            </w:r>
          </w:p>
        </w:tc>
      </w:tr>
      <w:tr w14:paraId="504A1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1013" w:type="pct"/>
            <w:vMerge w:val="continue"/>
            <w:noWrap w:val="0"/>
            <w:vAlign w:val="center"/>
          </w:tcPr>
          <w:p w14:paraId="6D4CD7A2">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26986A8F">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交通导向灯牌</w:t>
            </w:r>
          </w:p>
        </w:tc>
        <w:tc>
          <w:tcPr>
            <w:tcW w:w="2773" w:type="pct"/>
            <w:noWrap w:val="0"/>
            <w:vAlign w:val="center"/>
          </w:tcPr>
          <w:p w14:paraId="40EFB5B8">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配备导向情报板，可以调整为“向左行驶”“向右行驶”“禁止通行”标识，指引行车方向；</w:t>
            </w:r>
          </w:p>
        </w:tc>
      </w:tr>
      <w:tr w14:paraId="59298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1013" w:type="pct"/>
            <w:noWrap w:val="0"/>
            <w:vAlign w:val="center"/>
          </w:tcPr>
          <w:p w14:paraId="0C411605">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7BEE1944">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行车记录仪及倒车影像</w:t>
            </w:r>
          </w:p>
        </w:tc>
        <w:tc>
          <w:tcPr>
            <w:tcW w:w="2773" w:type="pct"/>
            <w:noWrap w:val="0"/>
            <w:vAlign w:val="center"/>
          </w:tcPr>
          <w:p w14:paraId="1FD3F589">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车身装载智能硬件设备包括：倒车影像（具备夜视功能的360°全景影像）。</w:t>
            </w:r>
          </w:p>
        </w:tc>
      </w:tr>
      <w:tr w14:paraId="65EFA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2" w:hRule="atLeast"/>
          <w:jc w:val="center"/>
        </w:trPr>
        <w:tc>
          <w:tcPr>
            <w:tcW w:w="1013" w:type="pct"/>
            <w:noWrap w:val="0"/>
            <w:vAlign w:val="center"/>
          </w:tcPr>
          <w:p w14:paraId="6510FDAE">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52DCD3B6">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车载</w:t>
            </w:r>
            <w:r>
              <w:rPr>
                <w:rFonts w:hint="eastAsia" w:asciiTheme="minorEastAsia" w:hAnsiTheme="minorEastAsia" w:eastAsiaTheme="minorEastAsia" w:cstheme="minorEastAsia"/>
                <w:spacing w:val="0"/>
                <w:kern w:val="2"/>
                <w:sz w:val="21"/>
                <w:szCs w:val="21"/>
                <w:lang w:val="en-US" w:eastAsia="zh-CN"/>
              </w:rPr>
              <w:t>哨兵</w:t>
            </w:r>
            <w:r>
              <w:rPr>
                <w:rFonts w:hint="eastAsia" w:asciiTheme="minorEastAsia" w:hAnsiTheme="minorEastAsia" w:eastAsiaTheme="minorEastAsia" w:cstheme="minorEastAsia"/>
                <w:spacing w:val="0"/>
                <w:kern w:val="2"/>
                <w:sz w:val="21"/>
                <w:szCs w:val="21"/>
              </w:rPr>
              <w:t>系统</w:t>
            </w:r>
          </w:p>
        </w:tc>
        <w:tc>
          <w:tcPr>
            <w:tcW w:w="2773" w:type="pct"/>
            <w:noWrap w:val="0"/>
            <w:vAlign w:val="center"/>
          </w:tcPr>
          <w:p w14:paraId="3641142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产品配置至包含摄像头：ADAS摄像头*1、DSM摄像头*1、车内*1、车后*1、500G机械硬盘、配备7吋及以上电容屏，内置主动安全模块，支持高级驾驶辅助、驾驶员状态监测功能；定位监控功能支持北斗/GPS双模定位，支持电子围栏、里程统计、盲区补报、轨迹存储等功能；视频功能：支持h264和h265编码格式，支持6路1080P AHD高清视频+1路ADAS+1路DSM+1路IPC，远程实时视频、报警图片、视频远程回放、GPS轨迹倒查回放。</w:t>
            </w:r>
          </w:p>
        </w:tc>
      </w:tr>
      <w:tr w14:paraId="51D8E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5" w:hRule="atLeast"/>
          <w:jc w:val="center"/>
        </w:trPr>
        <w:tc>
          <w:tcPr>
            <w:tcW w:w="1013" w:type="pct"/>
            <w:noWrap w:val="0"/>
            <w:vAlign w:val="center"/>
          </w:tcPr>
          <w:p w14:paraId="247F9708">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664B984A">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防闯入智能预警系统</w:t>
            </w:r>
          </w:p>
        </w:tc>
        <w:tc>
          <w:tcPr>
            <w:tcW w:w="2773" w:type="pct"/>
            <w:noWrap w:val="0"/>
            <w:vAlign w:val="center"/>
          </w:tcPr>
          <w:p w14:paraId="3F8D50A0">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可</w:t>
            </w:r>
            <w:r>
              <w:rPr>
                <w:rFonts w:hint="eastAsia" w:asciiTheme="minorEastAsia" w:hAnsiTheme="minorEastAsia" w:eastAsiaTheme="minorEastAsia" w:cstheme="minorEastAsia"/>
                <w:spacing w:val="0"/>
                <w:kern w:val="2"/>
                <w:sz w:val="21"/>
                <w:szCs w:val="21"/>
                <w:lang w:val="en-US" w:eastAsia="zh-CN"/>
              </w:rPr>
              <w:t>通过汽车级毫米波雷达传输高音喇叭</w:t>
            </w:r>
            <w:r>
              <w:rPr>
                <w:rFonts w:hint="eastAsia" w:asciiTheme="minorEastAsia" w:hAnsiTheme="minorEastAsia" w:eastAsiaTheme="minorEastAsia" w:cstheme="minorEastAsia"/>
                <w:spacing w:val="0"/>
                <w:kern w:val="2"/>
                <w:sz w:val="21"/>
                <w:szCs w:val="21"/>
              </w:rPr>
              <w:t>及时提醒上游车辆司机注意安全，变道行驶。向作业现场发出预警信号</w:t>
            </w:r>
            <w:r>
              <w:rPr>
                <w:rFonts w:hint="eastAsia" w:asciiTheme="minorEastAsia" w:hAnsiTheme="minorEastAsia" w:eastAsiaTheme="minorEastAsia" w:cstheme="minorEastAsia"/>
                <w:spacing w:val="0"/>
                <w:kern w:val="2"/>
                <w:sz w:val="21"/>
                <w:szCs w:val="21"/>
                <w:lang w:val="en-US" w:eastAsia="zh-CN"/>
              </w:rPr>
              <w:t>同时手环震动预警</w:t>
            </w:r>
            <w:r>
              <w:rPr>
                <w:rFonts w:hint="eastAsia" w:asciiTheme="minorEastAsia" w:hAnsiTheme="minorEastAsia" w:eastAsiaTheme="minorEastAsia" w:cstheme="minorEastAsia"/>
                <w:spacing w:val="0"/>
                <w:kern w:val="2"/>
                <w:sz w:val="21"/>
                <w:szCs w:val="21"/>
              </w:rPr>
              <w:t>，提醒作业人员及时避让。保证施工人员及司乘人员安全</w:t>
            </w:r>
            <w:r>
              <w:rPr>
                <w:rFonts w:hint="eastAsia" w:asciiTheme="minorEastAsia" w:hAnsiTheme="minorEastAsia" w:eastAsiaTheme="minorEastAsia" w:cstheme="minorEastAsia"/>
                <w:spacing w:val="0"/>
                <w:kern w:val="2"/>
                <w:sz w:val="21"/>
                <w:szCs w:val="21"/>
                <w:lang w:eastAsia="zh-CN"/>
              </w:rPr>
              <w:t>，</w:t>
            </w:r>
            <w:r>
              <w:rPr>
                <w:rFonts w:hint="eastAsia" w:asciiTheme="minorEastAsia" w:hAnsiTheme="minorEastAsia" w:eastAsiaTheme="minorEastAsia" w:cstheme="minorEastAsia"/>
                <w:spacing w:val="0"/>
                <w:kern w:val="2"/>
                <w:sz w:val="21"/>
                <w:szCs w:val="21"/>
                <w:lang w:val="en-US" w:eastAsia="zh-CN"/>
              </w:rPr>
              <w:t>可同时探测3车道和单独监测单车道。</w:t>
            </w:r>
          </w:p>
          <w:p w14:paraId="758CBA3E">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探测距离：毫米波雷达检测250m预警区域</w:t>
            </w:r>
          </w:p>
          <w:p w14:paraId="222B6559">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设备应和主流导航软件互联，可实时将施工信息上传至导航软件，在到达施工区域前 2 公里之外在导航上显示施工信息并播报。</w:t>
            </w:r>
          </w:p>
        </w:tc>
      </w:tr>
      <w:tr w14:paraId="63268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jc w:val="center"/>
        </w:trPr>
        <w:tc>
          <w:tcPr>
            <w:tcW w:w="1013" w:type="pct"/>
            <w:noWrap w:val="0"/>
            <w:vAlign w:val="center"/>
          </w:tcPr>
          <w:p w14:paraId="799B498C">
            <w:pPr>
              <w:spacing w:line="240" w:lineRule="auto"/>
              <w:jc w:val="center"/>
              <w:rPr>
                <w:rFonts w:hint="eastAsia" w:asciiTheme="minorEastAsia" w:hAnsiTheme="minorEastAsia" w:eastAsiaTheme="minorEastAsia" w:cstheme="minorEastAsia"/>
                <w:spacing w:val="0"/>
                <w:kern w:val="2"/>
                <w:sz w:val="21"/>
                <w:szCs w:val="21"/>
              </w:rPr>
            </w:pPr>
          </w:p>
        </w:tc>
        <w:tc>
          <w:tcPr>
            <w:tcW w:w="1212" w:type="pct"/>
            <w:noWrap w:val="0"/>
            <w:vAlign w:val="center"/>
          </w:tcPr>
          <w:p w14:paraId="050AC055">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lang w:val="en-US" w:eastAsia="zh-CN"/>
              </w:rPr>
              <w:t>太阳能充电系统</w:t>
            </w:r>
          </w:p>
        </w:tc>
        <w:tc>
          <w:tcPr>
            <w:tcW w:w="2773" w:type="pct"/>
            <w:noWrap w:val="0"/>
            <w:vAlign w:val="center"/>
          </w:tcPr>
          <w:p w14:paraId="1C003841">
            <w:pPr>
              <w:spacing w:line="240" w:lineRule="auto"/>
              <w:jc w:val="center"/>
              <w:rPr>
                <w:rFonts w:hint="eastAsia" w:asciiTheme="minorEastAsia" w:hAnsiTheme="minorEastAsia" w:eastAsiaTheme="minorEastAsia" w:cstheme="minorEastAsia"/>
                <w:spacing w:val="0"/>
                <w:kern w:val="2"/>
                <w:sz w:val="21"/>
                <w:szCs w:val="21"/>
                <w:lang w:val="en-US" w:eastAsia="zh-CN"/>
              </w:rPr>
            </w:pPr>
            <w:r>
              <w:rPr>
                <w:rFonts w:hint="eastAsia" w:asciiTheme="minorEastAsia" w:hAnsiTheme="minorEastAsia" w:eastAsiaTheme="minorEastAsia" w:cstheme="minorEastAsia"/>
                <w:spacing w:val="0"/>
                <w:kern w:val="2"/>
                <w:sz w:val="21"/>
                <w:szCs w:val="21"/>
              </w:rPr>
              <w:t>配备</w:t>
            </w:r>
            <w:r>
              <w:rPr>
                <w:rFonts w:hint="eastAsia" w:asciiTheme="minorEastAsia" w:hAnsiTheme="minorEastAsia" w:eastAsiaTheme="minorEastAsia" w:cstheme="minorEastAsia"/>
                <w:spacing w:val="0"/>
                <w:kern w:val="2"/>
                <w:sz w:val="21"/>
                <w:szCs w:val="21"/>
                <w:lang w:val="en-US" w:eastAsia="zh-CN"/>
              </w:rPr>
              <w:t>太阳能充电系统</w:t>
            </w:r>
            <w:r>
              <w:rPr>
                <w:rFonts w:hint="eastAsia" w:asciiTheme="minorEastAsia" w:hAnsiTheme="minorEastAsia" w:eastAsiaTheme="minorEastAsia" w:cstheme="minorEastAsia"/>
                <w:spacing w:val="0"/>
                <w:kern w:val="2"/>
                <w:sz w:val="21"/>
                <w:szCs w:val="21"/>
              </w:rPr>
              <w:t>，</w:t>
            </w:r>
            <w:r>
              <w:rPr>
                <w:rFonts w:hint="eastAsia" w:asciiTheme="minorEastAsia" w:hAnsiTheme="minorEastAsia" w:eastAsiaTheme="minorEastAsia" w:cstheme="minorEastAsia"/>
                <w:spacing w:val="0"/>
                <w:kern w:val="2"/>
                <w:sz w:val="21"/>
                <w:szCs w:val="21"/>
                <w:lang w:val="en-US" w:eastAsia="zh-CN"/>
              </w:rPr>
              <w:t>车辆熄火期间持续供电</w:t>
            </w:r>
            <w:r>
              <w:rPr>
                <w:rFonts w:hint="eastAsia" w:asciiTheme="minorEastAsia" w:hAnsiTheme="minorEastAsia" w:eastAsiaTheme="minorEastAsia" w:cstheme="minorEastAsia"/>
                <w:spacing w:val="0"/>
                <w:kern w:val="2"/>
                <w:sz w:val="21"/>
                <w:szCs w:val="21"/>
              </w:rPr>
              <w:t>显示屏和箭头</w:t>
            </w:r>
            <w:r>
              <w:rPr>
                <w:rFonts w:hint="eastAsia" w:asciiTheme="minorEastAsia" w:hAnsiTheme="minorEastAsia" w:eastAsiaTheme="minorEastAsia" w:cstheme="minorEastAsia"/>
                <w:spacing w:val="0"/>
                <w:kern w:val="2"/>
                <w:sz w:val="21"/>
                <w:szCs w:val="21"/>
                <w:lang w:val="en-US" w:eastAsia="zh-CN"/>
              </w:rPr>
              <w:t>指示</w:t>
            </w:r>
            <w:r>
              <w:rPr>
                <w:rFonts w:hint="eastAsia" w:asciiTheme="minorEastAsia" w:hAnsiTheme="minorEastAsia" w:eastAsiaTheme="minorEastAsia" w:cstheme="minorEastAsia"/>
                <w:spacing w:val="0"/>
                <w:kern w:val="2"/>
                <w:sz w:val="21"/>
                <w:szCs w:val="21"/>
              </w:rPr>
              <w:t>灯</w:t>
            </w:r>
          </w:p>
        </w:tc>
      </w:tr>
    </w:tbl>
    <w:p w14:paraId="7AF3721A">
      <w:pPr>
        <w:pStyle w:val="2"/>
        <w:rPr>
          <w:rFonts w:hint="eastAsia" w:ascii="Times New Roman" w:hAnsi="Times New Roman" w:eastAsia="宋体" w:cs="Times New Roman"/>
          <w:b/>
          <w:sz w:val="21"/>
          <w:szCs w:val="21"/>
          <w:lang w:val="en-US" w:eastAsia="zh-CN"/>
        </w:rPr>
      </w:pPr>
    </w:p>
    <w:p w14:paraId="0EC25B3B">
      <w:pPr>
        <w:rPr>
          <w:rFonts w:hint="eastAsia"/>
          <w:lang w:eastAsia="zh-CN"/>
        </w:rPr>
      </w:pPr>
    </w:p>
    <w:p w14:paraId="18C2F0AE">
      <w:pPr>
        <w:pStyle w:val="4"/>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18D8E19A">
      <w:pPr>
        <w:autoSpaceDE w:val="0"/>
        <w:spacing w:line="240" w:lineRule="auto"/>
        <w:jc w:val="center"/>
        <w:outlineLvl w:val="0"/>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撒布机技术性能指标要求</w:t>
      </w:r>
    </w:p>
    <w:tbl>
      <w:tblPr>
        <w:tblStyle w:val="15"/>
        <w:tblW w:w="4998"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67"/>
        <w:gridCol w:w="7646"/>
      </w:tblGrid>
      <w:tr w14:paraId="1AFC17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B5BDB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A1EA7C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融雪剂撒布机技术参数要求</w:t>
            </w:r>
          </w:p>
        </w:tc>
      </w:tr>
      <w:tr w14:paraId="67BAD6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55AA3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3206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总质量：≥2500kg</w:t>
            </w:r>
          </w:p>
        </w:tc>
      </w:tr>
      <w:tr w14:paraId="26EDC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48B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85F85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外形尺寸（长×宽×高mm）≥5660±×2260±×2100±500</w:t>
            </w:r>
          </w:p>
        </w:tc>
      </w:tr>
      <w:tr w14:paraId="1CC8EE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0F984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372BD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撒布机适当高度依据《公路养护安全作业规程》（JTG H30-2015）安装闪光箭头（长×宽≥1200mm×400mm，蓝黑底，黄色箭头）、车辆闪光灯（360°旋转闪光灯）</w:t>
            </w:r>
          </w:p>
        </w:tc>
      </w:tr>
      <w:tr w14:paraId="599A3A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0BD21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92358EB">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203337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1DE2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C88A90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撒布机料仓容量：≥12m³，料仓上方配置过滤网，减少大颗粒或杂物进入设备，保证机构安全运行。</w:t>
            </w:r>
          </w:p>
        </w:tc>
      </w:tr>
      <w:tr w14:paraId="4B4B0E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A6D39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DF5D31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撒布机撒布由全液压驱动，液压系统工作压力≥12MPa。</w:t>
            </w:r>
          </w:p>
        </w:tc>
      </w:tr>
      <w:tr w14:paraId="485394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558F7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20FB82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撒布机应具有左右对称、单左方向、单右方向撒布三种撒布模式，撒布宽度：3-10m之间，撒布密度20～120 g/㎡任意可调，可在驾驶室内实现左侧或右侧的单侧撒布，安装有缺料报警装置。</w:t>
            </w:r>
          </w:p>
        </w:tc>
      </w:tr>
      <w:tr w14:paraId="4185D8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8939A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3.8</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65675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驾驶室控制采用智能监控系统，可触摸控制或按钮操作，在驾驶室内控制，可随时对撒布机启动及关闭、撒布量大小、撒盐盘（拨料器）转速等进行任意调节，具有光控料空报警装置。具有查询撒布工作记录功能。</w:t>
            </w:r>
          </w:p>
        </w:tc>
      </w:tr>
      <w:tr w14:paraId="3EA3CB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B236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3.9</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129B2D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撒布盘为全不锈钢材质，直径≥500mm；向上翻转带助力装置；以方便板结融雪物料清除</w:t>
            </w:r>
          </w:p>
        </w:tc>
      </w:tr>
      <w:tr w14:paraId="5ADA41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96830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3.10</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19DC2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撒布盘对地高度可任意调节，以适应不同车型。</w:t>
            </w:r>
          </w:p>
        </w:tc>
      </w:tr>
      <w:tr w14:paraId="4811D6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CF9F6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602B3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撒布机可实现不经撒布盘，通过向上翻转撒布盘可方便卸除撒布机内剩余融雪剂。</w:t>
            </w:r>
          </w:p>
        </w:tc>
      </w:tr>
      <w:tr w14:paraId="4A5890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784F5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8623B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钢制履带式或皮带式或刮板链条式输料器，坚固耐用抗腐蚀性优良，履带有效宽度：≥450mm或皮带及刮板有效宽度：≥420mm，液压泵带动液压变速箱，驱动输料器，能避免打滑、丢转产生的漏撒、撒布不均匀等现象</w:t>
            </w:r>
          </w:p>
        </w:tc>
      </w:tr>
      <w:tr w14:paraId="781761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6425C0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FB037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防雨布具备自动或手动启闭防雨篷布的装置，料仓带有过滤安全网，可以滤除融雪剂中大型异物，保护设备安全。</w:t>
            </w:r>
          </w:p>
        </w:tc>
      </w:tr>
      <w:tr w14:paraId="78842D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A8AB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5CD36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料仓内部设有防止融雪剂板结的装置，该装置用于防止由于融雪剂因运输颠簸或受潮板结而无法输送的现象；皮带（履带）上方设有倒V形防堵塞隔板，减少融雪剂对输料器（皮带）的压力。</w:t>
            </w:r>
          </w:p>
        </w:tc>
      </w:tr>
      <w:tr w14:paraId="1598B6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69A4A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57D47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撒布机出料槽上方安装防护栏，防护栏高度不低于1.5m.确保工人作业安全。</w:t>
            </w:r>
          </w:p>
        </w:tc>
      </w:tr>
      <w:tr w14:paraId="62C1E0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39F9FD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2E04E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须安装晚间工作时的车后双向灯。</w:t>
            </w:r>
          </w:p>
        </w:tc>
      </w:tr>
      <w:tr w14:paraId="39E99E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7332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10AEF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使用柴油发动机作为动力，辅助柴油箱容积≥20L.</w:t>
            </w:r>
          </w:p>
        </w:tc>
      </w:tr>
      <w:tr w14:paraId="2A89D8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6D28E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D9A049B">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供货要求</w:t>
            </w:r>
          </w:p>
        </w:tc>
      </w:tr>
      <w:tr w14:paraId="2E0033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BBC50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02725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设备整体颜色为工程黄色</w:t>
            </w:r>
          </w:p>
        </w:tc>
      </w:tr>
      <w:tr w14:paraId="38638A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7A8A9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FD149D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交货期：≤60天（合同签订后60天内）</w:t>
            </w:r>
          </w:p>
        </w:tc>
      </w:tr>
      <w:tr w14:paraId="21ABF6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D06D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0F12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质保期：24个月</w:t>
            </w:r>
          </w:p>
        </w:tc>
      </w:tr>
    </w:tbl>
    <w:p w14:paraId="6E2664C4">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除雪铲技术性能指标要求</w:t>
      </w:r>
    </w:p>
    <w:tbl>
      <w:tblPr>
        <w:tblStyle w:val="1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7616"/>
      </w:tblGrid>
      <w:tr w14:paraId="238B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2D50157">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一</w:t>
            </w:r>
          </w:p>
        </w:tc>
        <w:tc>
          <w:tcPr>
            <w:tcW w:w="7616" w:type="dxa"/>
            <w:tcBorders>
              <w:top w:val="single" w:color="auto" w:sz="4" w:space="0"/>
              <w:left w:val="single" w:color="auto" w:sz="4" w:space="0"/>
              <w:bottom w:val="single" w:color="auto" w:sz="4" w:space="0"/>
              <w:right w:val="single" w:color="auto" w:sz="4" w:space="0"/>
            </w:tcBorders>
            <w:vAlign w:val="center"/>
          </w:tcPr>
          <w:p w14:paraId="60A1356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独立除雪铲买方要求</w:t>
            </w:r>
          </w:p>
        </w:tc>
      </w:tr>
      <w:tr w14:paraId="0DCC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DA3827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7616" w:type="dxa"/>
            <w:tcBorders>
              <w:top w:val="single" w:color="auto" w:sz="4" w:space="0"/>
              <w:left w:val="single" w:color="auto" w:sz="4" w:space="0"/>
              <w:bottom w:val="single" w:color="auto" w:sz="4" w:space="0"/>
              <w:right w:val="single" w:color="auto" w:sz="4" w:space="0"/>
            </w:tcBorders>
            <w:vAlign w:val="center"/>
          </w:tcPr>
          <w:p w14:paraId="44D0800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用途:本机具用于高速公路畅通保障应急养护</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独立成套，车辆另外租用</w:t>
            </w:r>
          </w:p>
        </w:tc>
      </w:tr>
      <w:tr w14:paraId="4E26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A1E87D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7616" w:type="dxa"/>
            <w:tcBorders>
              <w:top w:val="single" w:color="auto" w:sz="4" w:space="0"/>
              <w:left w:val="single" w:color="auto" w:sz="4" w:space="0"/>
              <w:bottom w:val="single" w:color="auto" w:sz="4" w:space="0"/>
              <w:right w:val="single" w:color="auto" w:sz="4" w:space="0"/>
            </w:tcBorders>
            <w:vAlign w:val="center"/>
          </w:tcPr>
          <w:p w14:paraId="004E127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供货范围</w:t>
            </w:r>
          </w:p>
        </w:tc>
      </w:tr>
      <w:tr w14:paraId="7A7D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296E810">
            <w:pPr>
              <w:jc w:val="both"/>
              <w:rPr>
                <w:rFonts w:hint="default" w:ascii="Times New Roman" w:hAnsi="Times New Roman" w:eastAsia="宋体" w:cs="Times New Roman"/>
                <w:sz w:val="21"/>
                <w:szCs w:val="21"/>
                <w:lang w:val="en-US" w:eastAsia="zh-CN"/>
              </w:rPr>
            </w:pPr>
          </w:p>
        </w:tc>
        <w:tc>
          <w:tcPr>
            <w:tcW w:w="7616" w:type="dxa"/>
            <w:tcBorders>
              <w:top w:val="single" w:color="auto" w:sz="4" w:space="0"/>
              <w:left w:val="single" w:color="auto" w:sz="4" w:space="0"/>
              <w:bottom w:val="single" w:color="auto" w:sz="4" w:space="0"/>
              <w:right w:val="single" w:color="auto" w:sz="4" w:space="0"/>
            </w:tcBorders>
            <w:vAlign w:val="center"/>
          </w:tcPr>
          <w:p w14:paraId="3251783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雪铲系统</w:t>
            </w:r>
          </w:p>
        </w:tc>
      </w:tr>
      <w:tr w14:paraId="0799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A36BA1B">
            <w:pPr>
              <w:jc w:val="both"/>
              <w:rPr>
                <w:rFonts w:hint="default" w:ascii="Times New Roman" w:hAnsi="Times New Roman" w:eastAsia="宋体" w:cs="Times New Roman"/>
                <w:sz w:val="21"/>
                <w:szCs w:val="21"/>
                <w:lang w:val="en-US" w:eastAsia="zh-CN"/>
              </w:rPr>
            </w:pPr>
          </w:p>
        </w:tc>
        <w:tc>
          <w:tcPr>
            <w:tcW w:w="7616" w:type="dxa"/>
            <w:tcBorders>
              <w:top w:val="single" w:color="auto" w:sz="4" w:space="0"/>
              <w:left w:val="single" w:color="auto" w:sz="4" w:space="0"/>
              <w:bottom w:val="single" w:color="auto" w:sz="4" w:space="0"/>
              <w:right w:val="single" w:color="auto" w:sz="4" w:space="0"/>
            </w:tcBorders>
            <w:vAlign w:val="center"/>
          </w:tcPr>
          <w:p w14:paraId="508E8BE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相关技术服务及验收杂费</w:t>
            </w:r>
          </w:p>
        </w:tc>
      </w:tr>
      <w:tr w14:paraId="0C2A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1523BAB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7616" w:type="dxa"/>
            <w:tcBorders>
              <w:top w:val="single" w:color="auto" w:sz="4" w:space="0"/>
              <w:left w:val="single" w:color="auto" w:sz="4" w:space="0"/>
              <w:bottom w:val="single" w:color="auto" w:sz="4" w:space="0"/>
              <w:right w:val="single" w:color="auto" w:sz="4" w:space="0"/>
            </w:tcBorders>
            <w:vAlign w:val="center"/>
          </w:tcPr>
          <w:p w14:paraId="16BDD89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技术数据</w:t>
            </w:r>
          </w:p>
        </w:tc>
      </w:tr>
      <w:tr w14:paraId="0014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5CD326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w:t>
            </w:r>
          </w:p>
        </w:tc>
        <w:tc>
          <w:tcPr>
            <w:tcW w:w="7616" w:type="dxa"/>
            <w:tcBorders>
              <w:top w:val="single" w:color="auto" w:sz="4" w:space="0"/>
              <w:left w:val="single" w:color="auto" w:sz="4" w:space="0"/>
              <w:bottom w:val="single" w:color="auto" w:sz="4" w:space="0"/>
              <w:right w:val="single" w:color="auto" w:sz="4" w:space="0"/>
            </w:tcBorders>
            <w:vAlign w:val="center"/>
          </w:tcPr>
          <w:p w14:paraId="0C14412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除雪铲性能及配置</w:t>
            </w:r>
          </w:p>
        </w:tc>
      </w:tr>
      <w:tr w14:paraId="2F5C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148713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w:t>
            </w:r>
          </w:p>
        </w:tc>
        <w:tc>
          <w:tcPr>
            <w:tcW w:w="7616" w:type="dxa"/>
            <w:tcBorders>
              <w:top w:val="single" w:color="auto" w:sz="4" w:space="0"/>
              <w:left w:val="single" w:color="auto" w:sz="4" w:space="0"/>
              <w:bottom w:val="single" w:color="auto" w:sz="4" w:space="0"/>
              <w:right w:val="single" w:color="auto" w:sz="4" w:space="0"/>
            </w:tcBorders>
            <w:vAlign w:val="center"/>
          </w:tcPr>
          <w:p w14:paraId="432CF91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用于高速公路道桥面冬季除雪作业</w:t>
            </w:r>
          </w:p>
        </w:tc>
      </w:tr>
      <w:tr w14:paraId="1F9F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189F7C7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4.2.2</w:t>
            </w:r>
          </w:p>
        </w:tc>
        <w:tc>
          <w:tcPr>
            <w:tcW w:w="7616" w:type="dxa"/>
            <w:tcBorders>
              <w:top w:val="single" w:color="auto" w:sz="4" w:space="0"/>
              <w:left w:val="single" w:color="auto" w:sz="4" w:space="0"/>
              <w:bottom w:val="single" w:color="auto" w:sz="4" w:space="0"/>
              <w:right w:val="single" w:color="auto" w:sz="4" w:space="0"/>
            </w:tcBorders>
            <w:vAlign w:val="center"/>
          </w:tcPr>
          <w:p w14:paraId="3976DA3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形式：卡车前悬挂式</w:t>
            </w:r>
          </w:p>
        </w:tc>
      </w:tr>
      <w:tr w14:paraId="3025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B03CA8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4.2.3</w:t>
            </w:r>
          </w:p>
        </w:tc>
        <w:tc>
          <w:tcPr>
            <w:tcW w:w="7616" w:type="dxa"/>
            <w:tcBorders>
              <w:top w:val="single" w:color="auto" w:sz="4" w:space="0"/>
              <w:left w:val="single" w:color="auto" w:sz="4" w:space="0"/>
              <w:bottom w:val="single" w:color="auto" w:sz="4" w:space="0"/>
              <w:right w:val="single" w:color="auto" w:sz="4" w:space="0"/>
            </w:tcBorders>
            <w:vAlign w:val="center"/>
          </w:tcPr>
          <w:p w14:paraId="1B7D474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*具有独立液压系统，液压站功率:≥2kw，全液压驱动，液压系统额定工作压力：≥12Mpa，液压系统流量：≥8L/min</w:t>
            </w:r>
          </w:p>
        </w:tc>
      </w:tr>
      <w:tr w14:paraId="18E1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01115C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4.2.4</w:t>
            </w:r>
          </w:p>
        </w:tc>
        <w:tc>
          <w:tcPr>
            <w:tcW w:w="7616" w:type="dxa"/>
            <w:tcBorders>
              <w:top w:val="single" w:color="auto" w:sz="4" w:space="0"/>
              <w:left w:val="single" w:color="auto" w:sz="4" w:space="0"/>
              <w:bottom w:val="single" w:color="auto" w:sz="4" w:space="0"/>
              <w:right w:val="single" w:color="auto" w:sz="4" w:space="0"/>
            </w:tcBorders>
            <w:vAlign w:val="center"/>
          </w:tcPr>
          <w:p w14:paraId="4A7C2D4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除雪铲举升机构采用平行四连杆结构直接举升，拒绝通过链条举升。</w:t>
            </w:r>
          </w:p>
        </w:tc>
      </w:tr>
      <w:tr w14:paraId="4608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0DC506A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4.2.5</w:t>
            </w:r>
          </w:p>
        </w:tc>
        <w:tc>
          <w:tcPr>
            <w:tcW w:w="7616" w:type="dxa"/>
            <w:tcBorders>
              <w:top w:val="single" w:color="auto" w:sz="4" w:space="0"/>
              <w:left w:val="single" w:color="auto" w:sz="4" w:space="0"/>
              <w:bottom w:val="single" w:color="auto" w:sz="4" w:space="0"/>
              <w:right w:val="single" w:color="auto" w:sz="4" w:space="0"/>
            </w:tcBorders>
            <w:vAlign w:val="center"/>
          </w:tcPr>
          <w:p w14:paraId="5A9CA23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*推雪板铲刃具有耐磨性和抗冲击能力强及可更换的特点，采用NM450材料，寿命：≥300h，采用2块分段铲刃，便于更换，单条铲刃尺寸（长*宽*高）≥1600*215*16mm。</w:t>
            </w:r>
          </w:p>
        </w:tc>
      </w:tr>
      <w:tr w14:paraId="22C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586536E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4.2.6</w:t>
            </w:r>
          </w:p>
        </w:tc>
        <w:tc>
          <w:tcPr>
            <w:tcW w:w="7616" w:type="dxa"/>
            <w:tcBorders>
              <w:top w:val="single" w:color="auto" w:sz="4" w:space="0"/>
              <w:left w:val="single" w:color="auto" w:sz="4" w:space="0"/>
              <w:bottom w:val="single" w:color="auto" w:sz="4" w:space="0"/>
              <w:right w:val="single" w:color="auto" w:sz="4" w:space="0"/>
            </w:tcBorders>
            <w:vAlign w:val="center"/>
          </w:tcPr>
          <w:p w14:paraId="3DF95F2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*推雪板宽：≥3200mm，工作宽度：≥2800-3200mm,可液压控制左右摆动角度左右摆动角度：≥0-±25°，有限位功能；自动调平角度：≥±4°</w:t>
            </w:r>
          </w:p>
        </w:tc>
      </w:tr>
      <w:tr w14:paraId="23D1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C8E338D">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4.2.7</w:t>
            </w:r>
          </w:p>
        </w:tc>
        <w:tc>
          <w:tcPr>
            <w:tcW w:w="7616" w:type="dxa"/>
            <w:tcBorders>
              <w:top w:val="single" w:color="auto" w:sz="4" w:space="0"/>
              <w:left w:val="single" w:color="auto" w:sz="4" w:space="0"/>
              <w:bottom w:val="single" w:color="auto" w:sz="4" w:space="0"/>
              <w:right w:val="single" w:color="auto" w:sz="4" w:space="0"/>
            </w:tcBorders>
            <w:vAlign w:val="center"/>
          </w:tcPr>
          <w:p w14:paraId="065C73C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*推雪板高：≥1000mm，除雪板重量：≥950kg，对压实雪具有强制下压功能，保证在短时间内清除压实雪</w:t>
            </w:r>
          </w:p>
        </w:tc>
      </w:tr>
      <w:tr w14:paraId="622E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3E37A52">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4.2.8</w:t>
            </w:r>
          </w:p>
        </w:tc>
        <w:tc>
          <w:tcPr>
            <w:tcW w:w="7616" w:type="dxa"/>
            <w:tcBorders>
              <w:top w:val="single" w:color="auto" w:sz="4" w:space="0"/>
              <w:left w:val="single" w:color="auto" w:sz="4" w:space="0"/>
              <w:bottom w:val="single" w:color="auto" w:sz="4" w:space="0"/>
              <w:right w:val="single" w:color="auto" w:sz="4" w:space="0"/>
            </w:tcBorders>
            <w:vAlign w:val="center"/>
          </w:tcPr>
          <w:p w14:paraId="38D86F2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最大除雪速度：≥50km/h</w:t>
            </w:r>
          </w:p>
        </w:tc>
      </w:tr>
      <w:tr w14:paraId="02F7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231832B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4.2.9</w:t>
            </w:r>
          </w:p>
        </w:tc>
        <w:tc>
          <w:tcPr>
            <w:tcW w:w="7616" w:type="dxa"/>
            <w:tcBorders>
              <w:top w:val="single" w:color="auto" w:sz="4" w:space="0"/>
              <w:left w:val="single" w:color="auto" w:sz="4" w:space="0"/>
              <w:bottom w:val="single" w:color="auto" w:sz="4" w:space="0"/>
              <w:right w:val="single" w:color="auto" w:sz="4" w:space="0"/>
            </w:tcBorders>
            <w:vAlign w:val="center"/>
          </w:tcPr>
          <w:p w14:paraId="725D5E4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除雪板可采用弯曲流线型设计从而高速下具有抛雪功能。板面有钢制框架保护或配加强筋保护（加强筋个数：10±3），具有抗撞击能力。</w:t>
            </w:r>
          </w:p>
        </w:tc>
      </w:tr>
      <w:tr w14:paraId="2080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6369D2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4.2.10</w:t>
            </w:r>
          </w:p>
        </w:tc>
        <w:tc>
          <w:tcPr>
            <w:tcW w:w="7616" w:type="dxa"/>
            <w:tcBorders>
              <w:top w:val="single" w:color="auto" w:sz="4" w:space="0"/>
              <w:left w:val="single" w:color="auto" w:sz="4" w:space="0"/>
              <w:bottom w:val="single" w:color="auto" w:sz="4" w:space="0"/>
              <w:right w:val="single" w:color="auto" w:sz="4" w:space="0"/>
            </w:tcBorders>
            <w:vAlign w:val="center"/>
          </w:tcPr>
          <w:p w14:paraId="2838A78F">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具有浮动功能，以保作业时推雪板与地面的夹角始终不变；应具有对地施压功能以清除路面局部压实雪；六座簧下翻板式，三个为一组同时翻板，除雪铲两侧安装照明示廓示高LED工作警示灯，具有路缘石防碰撞装置</w:t>
            </w:r>
          </w:p>
        </w:tc>
      </w:tr>
      <w:tr w14:paraId="28A2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0CF20C7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4.2.11</w:t>
            </w:r>
          </w:p>
        </w:tc>
        <w:tc>
          <w:tcPr>
            <w:tcW w:w="7616" w:type="dxa"/>
            <w:tcBorders>
              <w:top w:val="single" w:color="auto" w:sz="4" w:space="0"/>
              <w:left w:val="single" w:color="auto" w:sz="4" w:space="0"/>
              <w:bottom w:val="single" w:color="auto" w:sz="4" w:space="0"/>
              <w:right w:val="single" w:color="auto" w:sz="4" w:space="0"/>
            </w:tcBorders>
            <w:vAlign w:val="center"/>
          </w:tcPr>
          <w:p w14:paraId="3CD3E919">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*推雪板具有自动避障和自动复位功能，避障形式采用铲刃压缩式弹簧避障，遇到障碍物时铲板不动，铲刃分两段翻转，每段遇到障碍物均可独立翻转避障，减少冲击，不采用整体铲刃避障，越障高度：≥100mm</w:t>
            </w:r>
          </w:p>
        </w:tc>
      </w:tr>
      <w:tr w14:paraId="697E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723FC32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4.2.12</w:t>
            </w:r>
          </w:p>
        </w:tc>
        <w:tc>
          <w:tcPr>
            <w:tcW w:w="7616" w:type="dxa"/>
            <w:tcBorders>
              <w:top w:val="single" w:color="auto" w:sz="4" w:space="0"/>
              <w:left w:val="single" w:color="auto" w:sz="4" w:space="0"/>
              <w:bottom w:val="single" w:color="auto" w:sz="4" w:space="0"/>
              <w:right w:val="single" w:color="auto" w:sz="4" w:space="0"/>
            </w:tcBorders>
            <w:vAlign w:val="center"/>
          </w:tcPr>
          <w:p w14:paraId="132E124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推雪板要求具有路沿防碰撞和防伸缩缝功能，防撞装置尺寸（直径×长）：≥70*220。除雪铲上方加防护装置，防止冰雪飞溅至车辆挡风玻璃</w:t>
            </w:r>
          </w:p>
        </w:tc>
      </w:tr>
      <w:tr w14:paraId="507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4112BC7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4.2.13</w:t>
            </w:r>
          </w:p>
        </w:tc>
        <w:tc>
          <w:tcPr>
            <w:tcW w:w="7616" w:type="dxa"/>
            <w:tcBorders>
              <w:top w:val="single" w:color="auto" w:sz="4" w:space="0"/>
              <w:left w:val="single" w:color="auto" w:sz="4" w:space="0"/>
              <w:bottom w:val="single" w:color="auto" w:sz="4" w:space="0"/>
              <w:right w:val="single" w:color="auto" w:sz="4" w:space="0"/>
            </w:tcBorders>
            <w:vAlign w:val="center"/>
          </w:tcPr>
          <w:p w14:paraId="06D5BB0A">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液压油缸需配置防尘罩</w:t>
            </w:r>
          </w:p>
        </w:tc>
      </w:tr>
      <w:tr w14:paraId="5624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3987B3E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4.2.14</w:t>
            </w:r>
          </w:p>
        </w:tc>
        <w:tc>
          <w:tcPr>
            <w:tcW w:w="7616" w:type="dxa"/>
            <w:tcBorders>
              <w:top w:val="single" w:color="auto" w:sz="4" w:space="0"/>
              <w:left w:val="single" w:color="auto" w:sz="4" w:space="0"/>
              <w:bottom w:val="single" w:color="auto" w:sz="4" w:space="0"/>
              <w:right w:val="single" w:color="auto" w:sz="4" w:space="0"/>
            </w:tcBorders>
            <w:vAlign w:val="center"/>
          </w:tcPr>
          <w:p w14:paraId="260CDA7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交货期：≤60天（合同签订后60天内）</w:t>
            </w:r>
          </w:p>
        </w:tc>
      </w:tr>
      <w:tr w14:paraId="40C3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26" w:type="dxa"/>
            <w:tcBorders>
              <w:top w:val="single" w:color="auto" w:sz="4" w:space="0"/>
              <w:left w:val="single" w:color="auto" w:sz="4" w:space="0"/>
              <w:bottom w:val="single" w:color="auto" w:sz="4" w:space="0"/>
              <w:right w:val="single" w:color="auto" w:sz="4" w:space="0"/>
            </w:tcBorders>
            <w:vAlign w:val="center"/>
          </w:tcPr>
          <w:p w14:paraId="608F32F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4.2.15</w:t>
            </w:r>
          </w:p>
        </w:tc>
        <w:tc>
          <w:tcPr>
            <w:tcW w:w="7616" w:type="dxa"/>
            <w:tcBorders>
              <w:top w:val="single" w:color="auto" w:sz="4" w:space="0"/>
              <w:left w:val="single" w:color="auto" w:sz="4" w:space="0"/>
              <w:bottom w:val="single" w:color="auto" w:sz="4" w:space="0"/>
              <w:right w:val="single" w:color="auto" w:sz="4" w:space="0"/>
            </w:tcBorders>
            <w:vAlign w:val="center"/>
          </w:tcPr>
          <w:p w14:paraId="70A338B8">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质保期：24个月</w:t>
            </w:r>
          </w:p>
        </w:tc>
      </w:tr>
    </w:tbl>
    <w:p w14:paraId="47930086">
      <w:pPr>
        <w:jc w:val="center"/>
        <w:rPr>
          <w:rFonts w:hint="default" w:ascii="Times New Roman" w:hAnsi="Times New Roman" w:eastAsia="宋体" w:cs="Times New Roman"/>
          <w:sz w:val="21"/>
          <w:szCs w:val="21"/>
          <w:lang w:val="en-US" w:eastAsia="zh-CN"/>
        </w:rPr>
      </w:pPr>
    </w:p>
    <w:p w14:paraId="22AD2F24">
      <w:pPr>
        <w:jc w:val="cente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C549C9F">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皮带运输机技术性能指标要求</w:t>
      </w:r>
    </w:p>
    <w:tbl>
      <w:tblPr>
        <w:tblStyle w:val="15"/>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7568"/>
      </w:tblGrid>
      <w:tr w14:paraId="6467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0114B726">
            <w:pPr>
              <w:jc w:val="both"/>
              <w:rPr>
                <w:rFonts w:hint="default" w:ascii="Times New Roman" w:hAnsi="Times New Roman" w:eastAsia="宋体" w:cs="Times New Roman"/>
                <w:sz w:val="21"/>
                <w:szCs w:val="21"/>
              </w:rPr>
            </w:pPr>
          </w:p>
        </w:tc>
        <w:tc>
          <w:tcPr>
            <w:tcW w:w="7568" w:type="dxa"/>
            <w:vAlign w:val="center"/>
          </w:tcPr>
          <w:p w14:paraId="31FF5527">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输送机技术参数</w:t>
            </w:r>
          </w:p>
        </w:tc>
      </w:tr>
      <w:tr w14:paraId="3E4F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5A787D7">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7568" w:type="dxa"/>
            <w:vAlign w:val="center"/>
          </w:tcPr>
          <w:p w14:paraId="445EDCE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用途:本机具用于高速公路畅通保障应急养护辅助作业,独立成套</w:t>
            </w:r>
          </w:p>
        </w:tc>
      </w:tr>
      <w:tr w14:paraId="549A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675ED52">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7568" w:type="dxa"/>
            <w:vAlign w:val="center"/>
          </w:tcPr>
          <w:p w14:paraId="0986C7C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数量：套</w:t>
            </w:r>
          </w:p>
        </w:tc>
      </w:tr>
      <w:tr w14:paraId="0965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74EFCB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7568" w:type="dxa"/>
            <w:vAlign w:val="center"/>
          </w:tcPr>
          <w:p w14:paraId="701D7FE2">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供货范围</w:t>
            </w:r>
          </w:p>
        </w:tc>
      </w:tr>
      <w:tr w14:paraId="0B3A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1FFA7714">
            <w:pPr>
              <w:jc w:val="both"/>
              <w:rPr>
                <w:rFonts w:hint="default" w:ascii="Times New Roman" w:hAnsi="Times New Roman" w:eastAsia="宋体" w:cs="Times New Roman"/>
                <w:sz w:val="21"/>
                <w:szCs w:val="21"/>
              </w:rPr>
            </w:pPr>
          </w:p>
        </w:tc>
        <w:tc>
          <w:tcPr>
            <w:tcW w:w="7568" w:type="dxa"/>
            <w:vAlign w:val="center"/>
          </w:tcPr>
          <w:p w14:paraId="56B2180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皮带输送系统</w:t>
            </w:r>
          </w:p>
        </w:tc>
      </w:tr>
      <w:tr w14:paraId="16C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784D673">
            <w:pPr>
              <w:jc w:val="both"/>
              <w:rPr>
                <w:rFonts w:hint="default" w:ascii="Times New Roman" w:hAnsi="Times New Roman" w:eastAsia="宋体" w:cs="Times New Roman"/>
                <w:sz w:val="21"/>
                <w:szCs w:val="21"/>
              </w:rPr>
            </w:pPr>
          </w:p>
        </w:tc>
        <w:tc>
          <w:tcPr>
            <w:tcW w:w="7568" w:type="dxa"/>
            <w:vAlign w:val="center"/>
          </w:tcPr>
          <w:p w14:paraId="09430C64">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运输和保险仓储等</w:t>
            </w:r>
          </w:p>
        </w:tc>
      </w:tr>
      <w:tr w14:paraId="5182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0907E475">
            <w:pPr>
              <w:jc w:val="both"/>
              <w:rPr>
                <w:rFonts w:hint="default" w:ascii="Times New Roman" w:hAnsi="Times New Roman" w:eastAsia="宋体" w:cs="Times New Roman"/>
                <w:sz w:val="21"/>
                <w:szCs w:val="21"/>
              </w:rPr>
            </w:pPr>
          </w:p>
        </w:tc>
        <w:tc>
          <w:tcPr>
            <w:tcW w:w="7568" w:type="dxa"/>
            <w:vAlign w:val="center"/>
          </w:tcPr>
          <w:p w14:paraId="71B54944">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相关技术服务及验收杂费</w:t>
            </w:r>
          </w:p>
        </w:tc>
      </w:tr>
      <w:tr w14:paraId="41EF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718718A">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7568" w:type="dxa"/>
            <w:vAlign w:val="center"/>
          </w:tcPr>
          <w:p w14:paraId="551AE30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技术数据</w:t>
            </w:r>
          </w:p>
        </w:tc>
      </w:tr>
      <w:tr w14:paraId="25D6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52D95C4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w:t>
            </w:r>
          </w:p>
        </w:tc>
        <w:tc>
          <w:tcPr>
            <w:tcW w:w="7568" w:type="dxa"/>
            <w:vAlign w:val="center"/>
          </w:tcPr>
          <w:p w14:paraId="358D770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皮带输送机性能及配置</w:t>
            </w:r>
          </w:p>
        </w:tc>
      </w:tr>
      <w:tr w14:paraId="0489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A386D6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w:t>
            </w:r>
          </w:p>
        </w:tc>
        <w:tc>
          <w:tcPr>
            <w:tcW w:w="7568" w:type="dxa"/>
            <w:vAlign w:val="center"/>
          </w:tcPr>
          <w:p w14:paraId="27915A4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用于高速公路道桥面冬季撒盐辅助作业</w:t>
            </w:r>
          </w:p>
        </w:tc>
      </w:tr>
      <w:tr w14:paraId="7E86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F911A55">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4.2.2</w:t>
            </w:r>
          </w:p>
        </w:tc>
        <w:tc>
          <w:tcPr>
            <w:tcW w:w="7568" w:type="dxa"/>
            <w:vAlign w:val="center"/>
          </w:tcPr>
          <w:p w14:paraId="0F8E9DB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形式：移动带式输送机，主骨架采用桁架式，槽钢支架，碳钢框架，槽型档护加裙边皮带，可升降调节</w:t>
            </w:r>
          </w:p>
        </w:tc>
      </w:tr>
      <w:tr w14:paraId="7B23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4D8FB4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4.2.3*</w:t>
            </w:r>
          </w:p>
        </w:tc>
        <w:tc>
          <w:tcPr>
            <w:tcW w:w="7568" w:type="dxa"/>
            <w:vAlign w:val="center"/>
          </w:tcPr>
          <w:p w14:paraId="20C11A13">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皮带长度：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12m</w:t>
            </w:r>
          </w:p>
        </w:tc>
      </w:tr>
      <w:tr w14:paraId="3F86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8355D2B">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4.2.4*</w:t>
            </w:r>
          </w:p>
        </w:tc>
        <w:tc>
          <w:tcPr>
            <w:tcW w:w="7568" w:type="dxa"/>
            <w:vAlign w:val="center"/>
          </w:tcPr>
          <w:p w14:paraId="7BD7EAA0">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输送机皮带宽度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0.6m</w:t>
            </w:r>
          </w:p>
        </w:tc>
      </w:tr>
      <w:tr w14:paraId="009C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BDCCA6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4.2.5</w:t>
            </w:r>
          </w:p>
        </w:tc>
        <w:tc>
          <w:tcPr>
            <w:tcW w:w="7568" w:type="dxa"/>
            <w:vAlign w:val="center"/>
          </w:tcPr>
          <w:p w14:paraId="08E858C9">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加挡板皮带厚：</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8mm</w:t>
            </w:r>
          </w:p>
        </w:tc>
      </w:tr>
      <w:tr w14:paraId="6C16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7FD7DC9">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4.2.6*</w:t>
            </w:r>
          </w:p>
        </w:tc>
        <w:tc>
          <w:tcPr>
            <w:tcW w:w="7568" w:type="dxa"/>
            <w:vAlign w:val="center"/>
          </w:tcPr>
          <w:p w14:paraId="3F0F575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电机额定功率：</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4千瓦</w:t>
            </w:r>
          </w:p>
        </w:tc>
      </w:tr>
      <w:tr w14:paraId="612C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295DE8A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4.2.7*</w:t>
            </w:r>
          </w:p>
        </w:tc>
        <w:tc>
          <w:tcPr>
            <w:tcW w:w="7568" w:type="dxa"/>
            <w:vAlign w:val="center"/>
          </w:tcPr>
          <w:p w14:paraId="58B7FB23">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整机结构采用防腐蚀结构设计，外露件经防腐蚀表面处理，涂有防腐涂层，保证与盐类材料长期接触后不锈蚀</w:t>
            </w:r>
          </w:p>
        </w:tc>
      </w:tr>
      <w:tr w14:paraId="1CC5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48FE4FFA">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4.2.8*</w:t>
            </w:r>
          </w:p>
        </w:tc>
        <w:tc>
          <w:tcPr>
            <w:tcW w:w="7568" w:type="dxa"/>
            <w:vAlign w:val="center"/>
          </w:tcPr>
          <w:p w14:paraId="151B22CF">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输送高度</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5m</w:t>
            </w:r>
          </w:p>
        </w:tc>
      </w:tr>
      <w:tr w14:paraId="1CCF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575292BD">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4.2.9*</w:t>
            </w:r>
          </w:p>
        </w:tc>
        <w:tc>
          <w:tcPr>
            <w:tcW w:w="7568" w:type="dxa"/>
            <w:vAlign w:val="center"/>
          </w:tcPr>
          <w:p w14:paraId="1B877C06">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轮子直径：</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600mm；间距：</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1500mm</w:t>
            </w:r>
          </w:p>
        </w:tc>
      </w:tr>
      <w:tr w14:paraId="2D65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62FBB95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4.2.10*</w:t>
            </w:r>
          </w:p>
        </w:tc>
        <w:tc>
          <w:tcPr>
            <w:tcW w:w="7568" w:type="dxa"/>
            <w:vAlign w:val="center"/>
          </w:tcPr>
          <w:p w14:paraId="08D8D5C1">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主骨架钢管直径：</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48mm、壁厚3mm</w:t>
            </w:r>
          </w:p>
        </w:tc>
      </w:tr>
      <w:tr w14:paraId="4F92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7B5D6EB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4.2.11*</w:t>
            </w:r>
          </w:p>
        </w:tc>
        <w:tc>
          <w:tcPr>
            <w:tcW w:w="7568" w:type="dxa"/>
            <w:vAlign w:val="center"/>
          </w:tcPr>
          <w:p w14:paraId="165FF348">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颜色为工程黄色。</w:t>
            </w:r>
          </w:p>
        </w:tc>
      </w:tr>
      <w:tr w14:paraId="0073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038" w:type="dxa"/>
            <w:vAlign w:val="center"/>
          </w:tcPr>
          <w:p w14:paraId="359E3F8C">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4.2.12*</w:t>
            </w:r>
          </w:p>
        </w:tc>
        <w:tc>
          <w:tcPr>
            <w:tcW w:w="7568" w:type="dxa"/>
            <w:vAlign w:val="center"/>
          </w:tcPr>
          <w:p w14:paraId="5BC5E050">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每套配1耐用防雨罩</w:t>
            </w:r>
          </w:p>
        </w:tc>
      </w:tr>
    </w:tbl>
    <w:p w14:paraId="3B6F13D0">
      <w:pPr>
        <w:jc w:val="center"/>
        <w:rPr>
          <w:rFonts w:hint="default" w:ascii="Times New Roman" w:hAnsi="Times New Roman" w:eastAsia="宋体" w:cs="Times New Roman"/>
          <w:sz w:val="21"/>
          <w:szCs w:val="21"/>
          <w:lang w:val="en-US" w:eastAsia="zh-CN"/>
        </w:rPr>
      </w:pPr>
    </w:p>
    <w:p w14:paraId="075F1A54">
      <w:pPr>
        <w:jc w:val="cente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CFB316C">
      <w:pPr>
        <w:autoSpaceDE w:val="0"/>
        <w:spacing w:line="240" w:lineRule="auto"/>
        <w:jc w:val="center"/>
        <w:outlineLv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sz w:val="21"/>
          <w:szCs w:val="21"/>
          <w:lang w:val="en-US" w:eastAsia="zh-CN"/>
        </w:rPr>
        <w:t>技术服务范围、验收标准、培训及售后相关要求</w:t>
      </w:r>
    </w:p>
    <w:p w14:paraId="689174A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一、</w:t>
      </w:r>
      <w:r>
        <w:rPr>
          <w:rFonts w:hint="default" w:ascii="Times New Roman" w:hAnsi="Times New Roman" w:eastAsia="宋体" w:cs="Times New Roman"/>
          <w:b/>
          <w:bCs/>
          <w:sz w:val="21"/>
          <w:szCs w:val="21"/>
          <w:lang w:val="en-US" w:eastAsia="zh-CN"/>
        </w:rPr>
        <w:t>技术服务范围及验收标准</w:t>
      </w:r>
    </w:p>
    <w:p w14:paraId="625D4C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1、车辆规格性能均应符合或优于本标书的要求且为“零公里”新车，交货时车辆须带≥50升燃油。</w:t>
      </w:r>
    </w:p>
    <w:p w14:paraId="039235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2、提供厂家使用说明书及维修手册1套。</w:t>
      </w:r>
    </w:p>
    <w:p w14:paraId="027B9E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3、出示厂家检验报告及合格证明。</w:t>
      </w:r>
    </w:p>
    <w:p w14:paraId="242192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4、外观上灯光和仪表应灵敏、完整、清晰、准确，整机涂漆光泽均匀、无油漆脱落锈蚀、碰伤，附具齐全完整。</w:t>
      </w:r>
    </w:p>
    <w:p w14:paraId="465B83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5、各部件性能可靠，无渗漏，无异响，转动灵活，制动良好。</w:t>
      </w:r>
    </w:p>
    <w:p w14:paraId="175C1C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6、验收期限：交货后一周内。</w:t>
      </w:r>
    </w:p>
    <w:p w14:paraId="0C2BF8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7、提供到货天数：60天（合同签订后60天内）。</w:t>
      </w:r>
    </w:p>
    <w:p w14:paraId="0AE1E647">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二、</w:t>
      </w:r>
      <w:r>
        <w:rPr>
          <w:rFonts w:hint="default" w:ascii="Times New Roman" w:hAnsi="Times New Roman" w:eastAsia="宋体" w:cs="Times New Roman"/>
          <w:b/>
          <w:bCs/>
          <w:sz w:val="21"/>
          <w:szCs w:val="21"/>
          <w:lang w:val="en-US" w:eastAsia="zh-CN"/>
        </w:rPr>
        <w:t>培训要求基本服务要求</w:t>
      </w:r>
    </w:p>
    <w:p w14:paraId="3B976E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1、车辆（设备）安全操作规范、安全操作程序、用途、结构及维护和保养方法。</w:t>
      </w:r>
    </w:p>
    <w:p w14:paraId="62E967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2、指导需方操作人员进行模拟操作及对不同故障的处理。</w:t>
      </w:r>
    </w:p>
    <w:p w14:paraId="740BD9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3、培训计划：完善的培训计划，不少于3天的理论和实际操作培训，保证参训人员熟练操作，懂得日常维保及维修，熟悉各部件功能，能够发现故障，能够准确与厂家技术人员进行技术沟通的能力。</w:t>
      </w:r>
    </w:p>
    <w:p w14:paraId="2588390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三、</w:t>
      </w:r>
      <w:r>
        <w:rPr>
          <w:rFonts w:hint="default" w:ascii="Times New Roman" w:hAnsi="Times New Roman" w:eastAsia="宋体" w:cs="Times New Roman"/>
          <w:b/>
          <w:bCs/>
          <w:sz w:val="21"/>
          <w:szCs w:val="21"/>
          <w:lang w:val="en-US" w:eastAsia="zh-CN"/>
        </w:rPr>
        <w:t>质保期及售后服务</w:t>
      </w:r>
    </w:p>
    <w:p w14:paraId="50052C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1.设备（易损件除外）质保期不少于2年；若厂家公开承诺质保期更长的，质保期从其承诺；质保期自设备验收合格之日起计。</w:t>
      </w:r>
    </w:p>
    <w:p w14:paraId="522A09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2.在质保期内，接到买方信息后，2个小时内应做出明确回复，48小时内到达现场，产生一切费用由卖方承担，72小时内处理完毕。</w:t>
      </w:r>
    </w:p>
    <w:p w14:paraId="2CFB06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3.质保期内的维修工时及材料费用、维修人员的差旅费、宿费等由卖方承担。</w:t>
      </w:r>
    </w:p>
    <w:p w14:paraId="255928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4.在质保期内，如设备或零部件因非人力因素出现故障而造成短期停用，则质保期和免费维修期相应顺延。</w:t>
      </w:r>
    </w:p>
    <w:p w14:paraId="4A2869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5.质保期内，卖方在每个季度免费进行全面维保工作。</w:t>
      </w:r>
    </w:p>
    <w:p w14:paraId="014613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6.质保期外出现故障时，卖方应按质保期内时效规定提供维修服务，以优惠价格收取材料费及人工费。</w:t>
      </w:r>
    </w:p>
    <w:p w14:paraId="519708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售后服务：完善售后服务计划，每年不少于一次质量回访，提供维护保养报告，给予终身技术指导。质保期结束后，乙方应继续为用户提供完善且优惠的售后服务。底盘过质保期后，乙方负责售后联系。乙方应每年提供一次全车免费检测，并提供检测报告及维保建议。质保期外能提供车辆终身维修所需的配件，并在接到甲方通知后2小时内响应，24小时内将配件寄出。</w:t>
      </w:r>
    </w:p>
    <w:p w14:paraId="1DAC9CA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四、</w:t>
      </w:r>
      <w:r>
        <w:rPr>
          <w:rFonts w:hint="default" w:ascii="Times New Roman" w:hAnsi="Times New Roman" w:eastAsia="宋体" w:cs="Times New Roman"/>
          <w:b/>
          <w:bCs/>
          <w:sz w:val="21"/>
          <w:szCs w:val="21"/>
          <w:lang w:val="en-US" w:eastAsia="zh-CN"/>
        </w:rPr>
        <w:t>其他要求</w:t>
      </w:r>
    </w:p>
    <w:p w14:paraId="507E97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1.车辆配全套保养、维修专用工具，该项费用综合计入总报价中。</w:t>
      </w:r>
    </w:p>
    <w:p w14:paraId="0F72AC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2.提供底盘、工作装置的详细技术参数、结构原理的说明。</w:t>
      </w:r>
    </w:p>
    <w:p w14:paraId="3B4BF5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2CDC5BAF">
      <w:pPr>
        <w:pStyle w:val="23"/>
        <w:keepNext w:val="0"/>
        <w:keepLines w:val="0"/>
        <w:pageBreakBefore w:val="0"/>
        <w:widowControl w:val="0"/>
        <w:kinsoku/>
        <w:wordWrap/>
        <w:overflowPunct/>
        <w:topLinePunct w:val="0"/>
        <w:bidi w:val="0"/>
        <w:adjustRightInd/>
        <w:spacing w:line="560" w:lineRule="exact"/>
        <w:jc w:val="both"/>
        <w:textAlignment w:val="auto"/>
        <w:rPr>
          <w:rFonts w:hint="eastAsia" w:ascii="宋体" w:hAnsi="宋体" w:eastAsia="宋体" w:cs="宋体"/>
          <w:color w:val="auto"/>
          <w:kern w:val="0"/>
          <w:sz w:val="28"/>
          <w:szCs w:val="28"/>
          <w:highlight w:val="none"/>
          <w:lang w:val="en-US" w:eastAsia="zh-CN" w:bidi="ar-SA"/>
        </w:rPr>
      </w:pPr>
    </w:p>
    <w:p w14:paraId="67D8E606">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79"/>
    <w:p w14:paraId="0F478882">
      <w:pPr>
        <w:numPr>
          <w:ilvl w:val="0"/>
          <w:numId w:val="5"/>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5145_WPSOffice_Level1"/>
      <w:bookmarkStart w:id="82" w:name="_Toc27552_WPSOffice_Level1"/>
      <w:bookmarkStart w:id="83" w:name="_Toc17394_WPSOffice_Level1"/>
      <w:bookmarkStart w:id="84" w:name="_Toc1914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5520_WPSOffice_Level2"/>
      <w:bookmarkStart w:id="86" w:name="_Toc25232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20076_WPSOffice_Level2"/>
      <w:bookmarkStart w:id="88" w:name="_Toc31577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2351_WPSOffice_Level2"/>
      <w:bookmarkStart w:id="90" w:name="_Toc21974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23368_WPSOffice_Level1"/>
      <w:bookmarkStart w:id="92" w:name="_Toc30529_WPSOffice_Level1"/>
      <w:bookmarkStart w:id="93" w:name="_Toc6353_WPSOffice_Level1"/>
      <w:bookmarkStart w:id="94" w:name="_Toc11424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2729_WPSOffice_Level1"/>
      <w:bookmarkStart w:id="97" w:name="_Toc5317_WPSOffice_Level1"/>
      <w:bookmarkStart w:id="98" w:name="_Toc31927_WPSOffice_Level1"/>
      <w:bookmarkStart w:id="99" w:name="_Toc21229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25965_WPSOffice_Level1"/>
      <w:bookmarkStart w:id="101" w:name="_Toc4728_WPSOffice_Level1"/>
      <w:bookmarkStart w:id="102" w:name="_Toc23356_WPSOffice_Level1"/>
      <w:bookmarkStart w:id="103" w:name="_Toc29085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7453_WPSOffice_Level1"/>
      <w:bookmarkStart w:id="105" w:name="_Toc18964_WPSOffice_Level1"/>
      <w:bookmarkStart w:id="106" w:name="_Toc23744_WPSOffice_Level1"/>
      <w:bookmarkStart w:id="107" w:name="_Toc10608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9601_WPSOffice_Level1"/>
      <w:bookmarkStart w:id="109" w:name="_Toc1578_WPSOffice_Level1"/>
      <w:bookmarkStart w:id="110" w:name="_Toc23751_WPSOffice_Level1"/>
      <w:bookmarkStart w:id="111" w:name="_Toc9006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24082_WPSOffice_Level1"/>
      <w:bookmarkStart w:id="113" w:name="_Toc31314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20930_WPSOffice_Level1"/>
      <w:bookmarkStart w:id="117" w:name="_Toc32220_WPSOffice_Level1"/>
      <w:r>
        <w:rPr>
          <w:rFonts w:hint="default" w:ascii="Times New Roman" w:hAnsi="Times New Roman" w:eastAsia="黑体" w:cs="Times New Roman"/>
          <w:sz w:val="24"/>
        </w:rPr>
        <w:t>七</w:t>
      </w:r>
      <w:bookmarkEnd w:id="114"/>
      <w:bookmarkEnd w:id="115"/>
      <w:bookmarkEnd w:id="116"/>
      <w:bookmarkEnd w:id="117"/>
      <w:bookmarkStart w:id="118" w:name="_Toc30273_WPSOffice_Level1"/>
      <w:bookmarkStart w:id="119" w:name="_Toc27403_WPSOffice_Level1"/>
      <w:bookmarkStart w:id="120" w:name="_Toc25804_WPSOffice_Level1"/>
      <w:bookmarkStart w:id="121" w:name="_Toc32648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30234_WPSOffice_Level1"/>
      <w:bookmarkStart w:id="123" w:name="_Toc23147_WPSOffice_Level1"/>
      <w:bookmarkStart w:id="124" w:name="_Toc32152_WPSOffice_Level1"/>
      <w:bookmarkStart w:id="125" w:name="_Toc4051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5885_WPSOffice_Level1"/>
      <w:bookmarkStart w:id="127" w:name="_Toc16988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765_WPSOffice_Level1"/>
      <w:bookmarkStart w:id="129" w:name="_Toc1687_WPSOffice_Level1"/>
      <w:bookmarkStart w:id="130" w:name="_Toc18312_WPSOffice_Level1"/>
      <w:bookmarkStart w:id="131" w:name="_Toc29399_WPSOffice_Level1"/>
      <w:bookmarkStart w:id="132" w:name="_Toc30031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4"/>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4"/>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8668_WPSOffice_Level1"/>
      <w:bookmarkStart w:id="134" w:name="_Toc8695_WPSOffice_Level1"/>
      <w:bookmarkStart w:id="135" w:name="_Toc14563_WPSOffice_Level1"/>
      <w:bookmarkStart w:id="136" w:name="_Toc32350_WPSOffice_Level1"/>
      <w:bookmarkStart w:id="137" w:name="_Toc12530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9768_WPSOffice_Level2"/>
      <w:bookmarkStart w:id="141" w:name="_Toc12035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24567_WPSOffice_Level1"/>
      <w:bookmarkStart w:id="143" w:name="_Toc15186_WPSOffice_Level1"/>
      <w:bookmarkStart w:id="144" w:name="_Toc24530_WPSOffice_Level1"/>
      <w:bookmarkStart w:id="145" w:name="_Toc32085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6273"/>
            <w:bookmarkStart w:id="148" w:name="_Toc55466874"/>
            <w:bookmarkStart w:id="149" w:name="_Toc7024"/>
            <w:bookmarkStart w:id="150" w:name="_Toc29844"/>
            <w:bookmarkStart w:id="151" w:name="_Toc18409_WPSOffice_Level1"/>
            <w:bookmarkStart w:id="152" w:name="_Toc15712"/>
            <w:bookmarkStart w:id="153" w:name="_Toc31316"/>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22815_WPSOffice_Level1"/>
      <w:bookmarkStart w:id="155" w:name="_Toc10436_WPSOffice_Level1"/>
      <w:bookmarkStart w:id="156" w:name="_Toc31445_WPSOffice_Level1"/>
      <w:bookmarkStart w:id="157" w:name="_Toc23545_WPSOffice_Level1"/>
      <w:bookmarkStart w:id="158" w:name="_Toc7738_WPSOffice_Level1"/>
    </w:p>
    <w:p w14:paraId="70416B21">
      <w:pPr>
        <w:rPr>
          <w:rFonts w:hint="default" w:ascii="Times New Roman" w:hAnsi="Times New Roman" w:eastAsia="黑体" w:cs="Times New Roman"/>
          <w:sz w:val="28"/>
          <w:szCs w:val="28"/>
        </w:rPr>
      </w:pPr>
    </w:p>
    <w:p w14:paraId="7CD90704">
      <w:pPr>
        <w:pStyle w:val="4"/>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807_WPSOffice_Level2"/>
      <w:bookmarkStart w:id="160" w:name="_Toc27600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6"/>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9004_WPSOffice_Level1"/>
      <w:bookmarkStart w:id="162" w:name="_Toc18547_WPSOffice_Level1"/>
      <w:bookmarkStart w:id="163" w:name="_Toc5072_WPSOffice_Level1"/>
      <w:bookmarkStart w:id="164" w:name="_Toc3772_WPSOffice_Level1"/>
      <w:bookmarkStart w:id="165" w:name="_Toc1452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30712_WPSOffice_Level1"/>
      <w:bookmarkStart w:id="167" w:name="_Toc3893_WPSOffice_Level1"/>
      <w:bookmarkStart w:id="168" w:name="_Toc12019_WPSOffice_Level1"/>
      <w:bookmarkStart w:id="169" w:name="_Toc5403_WPSOffice_Level1"/>
      <w:bookmarkStart w:id="170" w:name="_Toc9267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2"/>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2"/>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2"/>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2"/>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2"/>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2"/>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1"/>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2"/>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3"/>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EE13E660"/>
    <w:multiLevelType w:val="singleLevel"/>
    <w:tmpl w:val="EE13E660"/>
    <w:lvl w:ilvl="0" w:tentative="0">
      <w:start w:val="2"/>
      <w:numFmt w:val="decimal"/>
      <w:suff w:val="nothing"/>
      <w:lvlText w:val="（%1）"/>
      <w:lvlJc w:val="left"/>
    </w:lvl>
  </w:abstractNum>
  <w:abstractNum w:abstractNumId="3">
    <w:nsid w:val="2E95D47B"/>
    <w:multiLevelType w:val="singleLevel"/>
    <w:tmpl w:val="2E95D47B"/>
    <w:lvl w:ilvl="0" w:tentative="0">
      <w:start w:val="1"/>
      <w:numFmt w:val="decimal"/>
      <w:pStyle w:val="4"/>
      <w:suff w:val="nothing"/>
      <w:lvlText w:val="%1．"/>
      <w:lvlJc w:val="left"/>
      <w:pPr>
        <w:ind w:left="17" w:firstLine="400"/>
      </w:pPr>
      <w:rPr>
        <w:rFonts w:hint="default"/>
      </w:rPr>
    </w:lvl>
  </w:abstractNum>
  <w:abstractNum w:abstractNumId="4">
    <w:nsid w:val="59988EA0"/>
    <w:multiLevelType w:val="singleLevel"/>
    <w:tmpl w:val="59988EA0"/>
    <w:lvl w:ilvl="0" w:tentative="0">
      <w:start w:val="2"/>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A1986"/>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CB3DB0"/>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843081"/>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9D1DBB"/>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6DB492B"/>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52B27"/>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4">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5">
    <w:name w:val="Normal Indent"/>
    <w:basedOn w:val="1"/>
    <w:autoRedefine/>
    <w:qFormat/>
    <w:uiPriority w:val="0"/>
    <w:pPr>
      <w:ind w:firstLine="420"/>
    </w:pPr>
    <w:rPr>
      <w:szCs w:val="20"/>
    </w:rPr>
  </w:style>
  <w:style w:type="paragraph" w:styleId="6">
    <w:name w:val="Body Text Indent"/>
    <w:basedOn w:val="1"/>
    <w:next w:val="7"/>
    <w:autoRedefine/>
    <w:qFormat/>
    <w:uiPriority w:val="0"/>
    <w:pPr>
      <w:spacing w:after="120"/>
      <w:ind w:left="420" w:leftChars="200"/>
    </w:pPr>
  </w:style>
  <w:style w:type="paragraph" w:styleId="7">
    <w:name w:val="envelope return"/>
    <w:basedOn w:val="1"/>
    <w:autoRedefine/>
    <w:unhideWhenUsed/>
    <w:qFormat/>
    <w:uiPriority w:val="99"/>
    <w:pPr>
      <w:snapToGrid w:val="0"/>
      <w:ind w:firstLine="200"/>
    </w:pPr>
    <w:rPr>
      <w:rFonts w:ascii="Arial" w:hAnsi="Arial" w:cs="Arial"/>
      <w:szCs w:val="20"/>
    </w:rPr>
  </w:style>
  <w:style w:type="paragraph" w:styleId="8">
    <w:name w:val="List 2"/>
    <w:basedOn w:val="1"/>
    <w:qFormat/>
    <w:uiPriority w:val="0"/>
    <w:pPr>
      <w:ind w:left="100" w:leftChars="200" w:hanging="200" w:hangingChars="200"/>
    </w:pPr>
  </w:style>
  <w:style w:type="paragraph" w:styleId="9">
    <w:name w:val="Balloon Text"/>
    <w:basedOn w:val="1"/>
    <w:link w:val="4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cs="Times New Roman"/>
      <w:kern w:val="0"/>
      <w:sz w:val="24"/>
    </w:rPr>
  </w:style>
  <w:style w:type="paragraph" w:styleId="13">
    <w:name w:val="Title"/>
    <w:basedOn w:val="1"/>
    <w:next w:val="1"/>
    <w:autoRedefine/>
    <w:qFormat/>
    <w:uiPriority w:val="0"/>
    <w:pPr>
      <w:jc w:val="center"/>
    </w:pPr>
    <w:rPr>
      <w:sz w:val="30"/>
      <w:szCs w:val="30"/>
    </w:rPr>
  </w:style>
  <w:style w:type="paragraph" w:styleId="14">
    <w:name w:val="Body Text First Indent 2"/>
    <w:basedOn w:val="6"/>
    <w:next w:val="2"/>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4"/>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1"/>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9"/>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2381</Words>
  <Characters>2643</Characters>
  <Lines>141</Lines>
  <Paragraphs>39</Paragraphs>
  <TotalTime>14</TotalTime>
  <ScaleCrop>false</ScaleCrop>
  <LinksUpToDate>false</LinksUpToDate>
  <CharactersWithSpaces>2838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2026-09-01T02:01:16Z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D0DA901EC04C4491860DA14BA7420F25_13</vt:lpwstr>
  </property>
  <property fmtid="{D5CDD505-2E9C-101B-9397-08002B2CF9AE}" pid="4" name="KSOTemplateDocerSaveRecord">
    <vt:lpwstr>eyJoZGlkIjoiODQ1N2I3OGFmYzhhZmVlYzE5NzU4OTRlOWE3OTk4OWYiLCJ1c2VySWQiOiIzODMyNjUzNDIifQ==</vt:lpwstr>
  </property>
</Properties>
</file>