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DC13C">
      <w:pPr>
        <w:widowControl/>
        <w:jc w:val="center"/>
        <w:rPr>
          <w:rFonts w:hint="eastAsia" w:ascii="Times New Roman" w:hAnsi="Times New Roman" w:eastAsia="宋体" w:cs="Times New Roman"/>
          <w:b/>
          <w:bCs/>
          <w:sz w:val="44"/>
          <w:szCs w:val="44"/>
          <w:lang w:eastAsia="zh-CN"/>
        </w:rPr>
      </w:pPr>
      <w:r>
        <w:rPr>
          <w:rFonts w:hint="default" w:ascii="Times New Roman" w:hAnsi="Times New Roman" w:eastAsia="宋体" w:cs="Times New Roman"/>
          <w:b/>
          <w:bCs/>
          <w:sz w:val="44"/>
          <w:szCs w:val="44"/>
        </w:rPr>
        <w:t xml:space="preserve"> 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rPr>
        <w:t>年度安徽交运集团汽车销售有限公司</w:t>
      </w:r>
      <w:r>
        <w:rPr>
          <w:rFonts w:hint="eastAsia" w:ascii="Times New Roman" w:hAnsi="Times New Roman" w:eastAsia="宋体" w:cs="Times New Roman"/>
          <w:b/>
          <w:bCs/>
          <w:sz w:val="44"/>
          <w:szCs w:val="44"/>
          <w:lang w:val="en-US" w:eastAsia="zh-CN"/>
        </w:rPr>
        <w:t>9.1养护设施设备</w:t>
      </w:r>
      <w:r>
        <w:rPr>
          <w:rFonts w:hint="default" w:ascii="Times New Roman" w:hAnsi="Times New Roman" w:eastAsia="宋体" w:cs="Times New Roman"/>
          <w:b/>
          <w:bCs/>
          <w:sz w:val="44"/>
          <w:szCs w:val="44"/>
        </w:rPr>
        <w:t>采购</w:t>
      </w:r>
      <w:r>
        <w:rPr>
          <w:rFonts w:hint="default" w:ascii="Times New Roman" w:hAnsi="Times New Roman" w:eastAsia="宋体" w:cs="Times New Roman"/>
          <w:b/>
          <w:bCs/>
          <w:sz w:val="44"/>
          <w:szCs w:val="44"/>
          <w:highlight w:val="none"/>
        </w:rPr>
        <w:t>项目</w:t>
      </w:r>
      <w:r>
        <w:rPr>
          <w:rFonts w:hint="eastAsia" w:ascii="Times New Roman" w:hAnsi="Times New Roman" w:eastAsia="宋体" w:cs="Times New Roman"/>
          <w:b/>
          <w:bCs/>
          <w:sz w:val="44"/>
          <w:szCs w:val="44"/>
          <w:highlight w:val="none"/>
          <w:lang w:eastAsia="zh-CN"/>
        </w:rPr>
        <w:t>（二次）</w:t>
      </w:r>
    </w:p>
    <w:p w14:paraId="25026D1C">
      <w:pPr>
        <w:widowControl/>
        <w:jc w:val="center"/>
        <w:rPr>
          <w:rFonts w:hint="default" w:ascii="Times New Roman" w:hAnsi="Times New Roman" w:eastAsia="宋体" w:cs="Times New Roman"/>
          <w:b/>
          <w:bCs/>
          <w:sz w:val="44"/>
          <w:szCs w:val="44"/>
        </w:rPr>
      </w:pPr>
    </w:p>
    <w:p w14:paraId="79612C86">
      <w:pPr>
        <w:pStyle w:val="2"/>
        <w:rPr>
          <w:rFonts w:hint="default" w:ascii="Times New Roman" w:hAnsi="Times New Roman" w:cs="Times New Roman"/>
          <w:szCs w:val="21"/>
        </w:rPr>
      </w:pPr>
    </w:p>
    <w:p w14:paraId="55053262">
      <w:pPr>
        <w:pStyle w:val="2"/>
        <w:rPr>
          <w:rFonts w:hint="default" w:ascii="Times New Roman" w:hAnsi="Times New Roman" w:cs="Times New Roman"/>
          <w:szCs w:val="21"/>
        </w:rPr>
      </w:pPr>
    </w:p>
    <w:p w14:paraId="52D027E8">
      <w:pPr>
        <w:pStyle w:val="2"/>
        <w:rPr>
          <w:rFonts w:hint="default" w:ascii="Times New Roman" w:hAnsi="Times New Roman" w:cs="Times New Roman"/>
          <w:szCs w:val="21"/>
        </w:rPr>
      </w:pPr>
    </w:p>
    <w:p w14:paraId="1C9B6498">
      <w:pPr>
        <w:spacing w:line="540" w:lineRule="exact"/>
        <w:ind w:firstLine="420"/>
        <w:rPr>
          <w:rFonts w:hint="default" w:ascii="Times New Roman" w:hAnsi="Times New Roman" w:cs="Times New Roman"/>
          <w:szCs w:val="21"/>
        </w:rPr>
      </w:pPr>
    </w:p>
    <w:p w14:paraId="2362C3DD">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0017BEBF">
      <w:pPr>
        <w:spacing w:line="540" w:lineRule="exact"/>
        <w:ind w:firstLine="420"/>
        <w:rPr>
          <w:rFonts w:hint="default" w:ascii="Times New Roman" w:hAnsi="Times New Roman" w:cs="Times New Roman"/>
          <w:szCs w:val="21"/>
        </w:rPr>
      </w:pPr>
    </w:p>
    <w:p w14:paraId="3D345A50">
      <w:pPr>
        <w:spacing w:line="540" w:lineRule="exact"/>
        <w:ind w:firstLine="420"/>
        <w:rPr>
          <w:rFonts w:hint="default" w:ascii="Times New Roman" w:hAnsi="Times New Roman" w:cs="Times New Roman"/>
          <w:szCs w:val="21"/>
        </w:rPr>
      </w:pPr>
    </w:p>
    <w:p w14:paraId="198A8896">
      <w:pPr>
        <w:spacing w:line="540" w:lineRule="exact"/>
        <w:ind w:firstLine="420"/>
        <w:rPr>
          <w:rFonts w:hint="default" w:ascii="Times New Roman" w:hAnsi="Times New Roman" w:cs="Times New Roman"/>
          <w:szCs w:val="21"/>
        </w:rPr>
      </w:pPr>
    </w:p>
    <w:p w14:paraId="58A2E7FC">
      <w:pPr>
        <w:spacing w:line="540" w:lineRule="exact"/>
        <w:ind w:firstLine="420"/>
        <w:rPr>
          <w:rFonts w:hint="default" w:ascii="Times New Roman" w:hAnsi="Times New Roman" w:cs="Times New Roman"/>
          <w:szCs w:val="21"/>
        </w:rPr>
      </w:pPr>
    </w:p>
    <w:p w14:paraId="12734D5A">
      <w:pPr>
        <w:spacing w:line="540" w:lineRule="exact"/>
        <w:ind w:firstLine="420"/>
        <w:rPr>
          <w:rFonts w:hint="default" w:ascii="Times New Roman" w:hAnsi="Times New Roman" w:cs="Times New Roman"/>
          <w:szCs w:val="21"/>
        </w:rPr>
      </w:pPr>
    </w:p>
    <w:p w14:paraId="3CBA3DE5">
      <w:pPr>
        <w:spacing w:line="540" w:lineRule="exact"/>
        <w:ind w:firstLine="420"/>
        <w:rPr>
          <w:rFonts w:hint="default" w:ascii="Times New Roman" w:hAnsi="Times New Roman" w:cs="Times New Roman"/>
          <w:szCs w:val="21"/>
        </w:rPr>
      </w:pPr>
    </w:p>
    <w:p w14:paraId="7B05366C">
      <w:pPr>
        <w:spacing w:line="540" w:lineRule="exact"/>
        <w:ind w:firstLine="420"/>
        <w:rPr>
          <w:rFonts w:hint="default" w:ascii="Times New Roman" w:hAnsi="Times New Roman" w:cs="Times New Roman"/>
          <w:szCs w:val="21"/>
        </w:rPr>
      </w:pPr>
    </w:p>
    <w:p w14:paraId="2A9C2BC8">
      <w:pPr>
        <w:spacing w:line="540" w:lineRule="exact"/>
        <w:ind w:firstLine="420"/>
        <w:rPr>
          <w:rFonts w:hint="default" w:ascii="Times New Roman" w:hAnsi="Times New Roman" w:cs="Times New Roman"/>
          <w:szCs w:val="21"/>
        </w:rPr>
      </w:pPr>
    </w:p>
    <w:p w14:paraId="20B57A22">
      <w:pPr>
        <w:spacing w:line="540" w:lineRule="exact"/>
        <w:ind w:firstLine="420"/>
        <w:rPr>
          <w:rFonts w:hint="default" w:ascii="Times New Roman" w:hAnsi="Times New Roman" w:cs="Times New Roman"/>
          <w:szCs w:val="21"/>
        </w:rPr>
      </w:pPr>
    </w:p>
    <w:p w14:paraId="39760932">
      <w:pPr>
        <w:spacing w:line="540" w:lineRule="exact"/>
        <w:ind w:firstLine="640"/>
        <w:rPr>
          <w:rFonts w:hint="default" w:ascii="Times New Roman" w:hAnsi="Times New Roman" w:eastAsia="黑体" w:cs="Times New Roman"/>
          <w:sz w:val="32"/>
          <w:szCs w:val="32"/>
        </w:rPr>
      </w:pPr>
    </w:p>
    <w:p w14:paraId="131EC443">
      <w:pPr>
        <w:spacing w:line="540" w:lineRule="exact"/>
        <w:ind w:left="1896" w:leftChars="903"/>
        <w:rPr>
          <w:rFonts w:hint="default" w:ascii="Times New Roman" w:hAnsi="Times New Roman" w:cs="Times New Roman"/>
          <w:szCs w:val="21"/>
        </w:rPr>
      </w:pPr>
    </w:p>
    <w:p w14:paraId="4960D4E0">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67C76774">
      <w:pPr>
        <w:snapToGrid w:val="0"/>
        <w:ind w:left="1896" w:leftChars="903"/>
        <w:rPr>
          <w:rFonts w:hint="default" w:ascii="Times New Roman" w:hAnsi="Times New Roman" w:cs="Times New Roman"/>
          <w:sz w:val="32"/>
          <w:szCs w:val="32"/>
        </w:rPr>
      </w:pPr>
    </w:p>
    <w:p w14:paraId="6E66DB87">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 xml:space="preserve">9 </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10</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7E030AF9">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310290315"/>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635FC073">
          <w:pPr>
            <w:jc w:val="center"/>
            <w:rPr>
              <w:rFonts w:hint="default" w:ascii="Times New Roman" w:hAnsi="Times New Roman" w:eastAsia="黑体" w:cs="Times New Roman"/>
              <w:sz w:val="44"/>
              <w:szCs w:val="44"/>
            </w:rPr>
          </w:pPr>
          <w:bookmarkStart w:id="0" w:name="_Toc13148_WPSOffice_Type1"/>
        </w:p>
        <w:p w14:paraId="1DCA2C5A">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3D8FB6F5">
          <w:pPr>
            <w:pStyle w:val="2"/>
            <w:rPr>
              <w:rFonts w:hint="default" w:ascii="Times New Roman" w:hAnsi="Times New Roman" w:cs="Times New Roman"/>
            </w:rPr>
          </w:pPr>
        </w:p>
        <w:p w14:paraId="37B257B2">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1990"/>
              <w:placeholder>
                <w:docPart w:val="{d5a7d01c-bc8a-4903-8aba-701e891a5275}"/>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4BBD0A11">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942303627"/>
              <w:placeholder>
                <w:docPart w:val="{6b17f531-b584-4d6f-a472-009dcc569c66}"/>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30EA41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35639989"/>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6E9606E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43397732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5B3791B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054026697"/>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6B1348D5">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117560298"/>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1FFADC04">
          <w:pPr>
            <w:pStyle w:val="22"/>
            <w:tabs>
              <w:tab w:val="right" w:leader="dot" w:pos="8312"/>
            </w:tabs>
            <w:rPr>
              <w:rFonts w:hint="default" w:ascii="Times New Roman" w:hAnsi="Times New Roman" w:cs="Times New Roman"/>
            </w:rPr>
          </w:pPr>
        </w:p>
      </w:sdtContent>
    </w:sdt>
    <w:bookmarkEnd w:id="0"/>
    <w:p w14:paraId="2F4998A2">
      <w:pPr>
        <w:jc w:val="center"/>
        <w:rPr>
          <w:rFonts w:hint="default" w:ascii="Times New Roman" w:hAnsi="Times New Roman" w:eastAsia="宋体" w:cs="Times New Roman"/>
        </w:rPr>
      </w:pPr>
    </w:p>
    <w:p w14:paraId="5EDCB630">
      <w:pPr>
        <w:jc w:val="center"/>
        <w:rPr>
          <w:rFonts w:hint="default" w:ascii="Times New Roman" w:hAnsi="Times New Roman" w:eastAsia="宋体" w:cs="Times New Roman"/>
        </w:rPr>
      </w:pPr>
    </w:p>
    <w:p w14:paraId="4D5EA189">
      <w:pPr>
        <w:pStyle w:val="3"/>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1" w:name="_Toc6425_WPSOffice_Level1"/>
    </w:p>
    <w:p w14:paraId="4D732775">
      <w:pPr>
        <w:pStyle w:val="3"/>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1"/>
    </w:p>
    <w:p w14:paraId="78F9A227">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 w:name="_Toc525632585"/>
      <w:bookmarkStart w:id="3" w:name="_Toc6496_WPSOffice_Level2"/>
      <w:bookmarkStart w:id="4" w:name="_Toc13871"/>
      <w:bookmarkStart w:id="5" w:name="_Toc24354_WPSOffice_Level2"/>
      <w:bookmarkStart w:id="6" w:name="_Toc12765"/>
      <w:bookmarkStart w:id="7" w:name="_Toc4489_WPSOffice_Level2"/>
      <w:bookmarkStart w:id="8" w:name="_Toc10395_WPSOffice_Level2"/>
      <w:r>
        <w:rPr>
          <w:rFonts w:hint="default" w:ascii="Times New Roman" w:hAnsi="Times New Roman" w:eastAsia="黑体" w:cs="Times New Roman"/>
          <w:bCs w:val="0"/>
          <w:sz w:val="24"/>
          <w:szCs w:val="24"/>
        </w:rPr>
        <w:t>项目简介</w:t>
      </w:r>
      <w:bookmarkEnd w:id="2"/>
      <w:bookmarkEnd w:id="3"/>
      <w:bookmarkEnd w:id="4"/>
      <w:bookmarkEnd w:id="5"/>
      <w:bookmarkEnd w:id="6"/>
      <w:bookmarkEnd w:id="7"/>
      <w:bookmarkEnd w:id="8"/>
    </w:p>
    <w:p w14:paraId="3AB79A1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lang w:eastAsia="zh-CN"/>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年度安徽交运集团汽车销售有限公司</w:t>
      </w:r>
      <w:r>
        <w:rPr>
          <w:rFonts w:hint="eastAsia" w:ascii="Times New Roman" w:hAnsi="Times New Roman" w:cs="Times New Roman"/>
          <w:szCs w:val="22"/>
          <w:u w:val="single"/>
          <w:lang w:val="en-US" w:eastAsia="zh-CN"/>
        </w:rPr>
        <w:t>9.1养护设施设备</w:t>
      </w:r>
      <w:r>
        <w:rPr>
          <w:rFonts w:hint="default" w:ascii="Times New Roman" w:hAnsi="Times New Roman" w:cs="Times New Roman"/>
          <w:szCs w:val="22"/>
          <w:u w:val="single"/>
        </w:rPr>
        <w:t>采购项目</w:t>
      </w:r>
      <w:r>
        <w:rPr>
          <w:rFonts w:hint="eastAsia" w:ascii="Times New Roman" w:hAnsi="Times New Roman" w:cs="Times New Roman"/>
          <w:szCs w:val="22"/>
          <w:u w:val="single"/>
          <w:lang w:eastAsia="zh-CN"/>
        </w:rPr>
        <w:t>（二次）</w:t>
      </w:r>
    </w:p>
    <w:p w14:paraId="125941C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w:t>
      </w:r>
      <w:r>
        <w:rPr>
          <w:rFonts w:hint="default" w:ascii="Times New Roman" w:hAnsi="Times New Roman" w:cs="Times New Roman"/>
          <w:szCs w:val="22"/>
          <w:highlight w:val="none"/>
          <w:u w:val="single"/>
        </w:rPr>
        <w:t>团汽车销售有限公司</w:t>
      </w:r>
    </w:p>
    <w:p w14:paraId="1CBD44D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default" w:ascii="Times New Roman" w:hAnsi="Times New Roman" w:cs="Times New Roman"/>
          <w:szCs w:val="22"/>
          <w:highlight w:val="none"/>
          <w:u w:val="single"/>
          <w:lang w:eastAsia="zh-CN"/>
        </w:rPr>
        <w:t>保障道路安全畅通、施工作业安全</w:t>
      </w:r>
    </w:p>
    <w:p w14:paraId="0751826F">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9" w:name="_Toc8128_WPSOffice_Level2"/>
      <w:bookmarkStart w:id="10" w:name="_Toc525632586"/>
      <w:bookmarkStart w:id="11" w:name="_Toc10274"/>
      <w:bookmarkStart w:id="12" w:name="_Toc18367_WPSOffice_Level2"/>
      <w:bookmarkStart w:id="13" w:name="_Toc17858_WPSOffice_Level2"/>
      <w:bookmarkStart w:id="14" w:name="_Toc18453"/>
      <w:bookmarkStart w:id="15" w:name="_Toc23266_WPSOffice_Level2"/>
      <w:r>
        <w:rPr>
          <w:rFonts w:hint="default" w:ascii="Times New Roman" w:hAnsi="Times New Roman" w:eastAsia="黑体" w:cs="Times New Roman"/>
          <w:bCs w:val="0"/>
          <w:sz w:val="24"/>
          <w:szCs w:val="24"/>
          <w:highlight w:val="none"/>
        </w:rPr>
        <w:t>采购说明</w:t>
      </w:r>
      <w:bookmarkEnd w:id="9"/>
      <w:bookmarkEnd w:id="10"/>
      <w:bookmarkEnd w:id="11"/>
      <w:bookmarkEnd w:id="12"/>
      <w:bookmarkEnd w:id="13"/>
      <w:bookmarkEnd w:id="14"/>
      <w:bookmarkEnd w:id="15"/>
    </w:p>
    <w:p w14:paraId="3E15246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szCs w:val="22"/>
          <w:highlight w:val="none"/>
          <w:lang w:val="en-US" w:eastAsia="zh-CN"/>
        </w:rPr>
      </w:pPr>
      <w:bookmarkStart w:id="16" w:name="_Toc4489_WPSOffice_Level3"/>
      <w:r>
        <w:rPr>
          <w:rFonts w:hint="default" w:ascii="Times New Roman" w:hAnsi="Times New Roman" w:cs="Times New Roman"/>
          <w:szCs w:val="22"/>
          <w:highlight w:val="none"/>
        </w:rPr>
        <w:t>2.1采购方式：</w:t>
      </w:r>
      <w:bookmarkEnd w:id="16"/>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lang w:val="en-US" w:eastAsia="zh-CN"/>
        </w:rPr>
        <w:t xml:space="preserve"> </w:t>
      </w:r>
    </w:p>
    <w:p w14:paraId="7A7FEF9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17" w:name="_Toc23266_WPSOffice_Level3"/>
      <w:r>
        <w:rPr>
          <w:rFonts w:hint="default" w:ascii="Times New Roman" w:hAnsi="Times New Roman" w:cs="Times New Roman"/>
          <w:szCs w:val="22"/>
          <w:highlight w:val="none"/>
        </w:rPr>
        <w:t>2.2资金来源及比例：</w:t>
      </w:r>
      <w:bookmarkEnd w:id="17"/>
      <w:bookmarkStart w:id="18" w:name="_Toc22379_WPSOffice_Level3"/>
      <w:r>
        <w:rPr>
          <w:rFonts w:hint="default" w:ascii="Times New Roman" w:hAnsi="Times New Roman" w:cs="Times New Roman"/>
          <w:szCs w:val="22"/>
          <w:highlight w:val="none"/>
          <w:u w:val="single"/>
        </w:rPr>
        <w:t>企业自筹</w:t>
      </w:r>
    </w:p>
    <w:p w14:paraId="0769D9F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撒布机1台、除雪铲5台、皮带运输机1台</w:t>
      </w:r>
    </w:p>
    <w:p w14:paraId="6B6C3C2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2.4</w:t>
      </w:r>
      <w:bookmarkEnd w:id="18"/>
      <w:r>
        <w:rPr>
          <w:rFonts w:hint="default" w:ascii="Times New Roman" w:hAnsi="Times New Roman" w:cs="Times New Roman"/>
          <w:szCs w:val="22"/>
          <w:highlight w:val="none"/>
        </w:rPr>
        <w:t>合同包划分：</w:t>
      </w:r>
      <w:r>
        <w:rPr>
          <w:rFonts w:hint="eastAsia" w:ascii="Times New Roman" w:hAnsi="Times New Roman" w:cs="Times New Roman"/>
          <w:szCs w:val="22"/>
          <w:highlight w:val="none"/>
          <w:u w:val="single"/>
          <w:lang w:val="en-US" w:eastAsia="zh-CN"/>
        </w:rPr>
        <w:t>1</w:t>
      </w:r>
      <w:r>
        <w:rPr>
          <w:rFonts w:hint="default" w:ascii="Times New Roman" w:hAnsi="Times New Roman" w:cs="Times New Roman"/>
          <w:szCs w:val="22"/>
          <w:highlight w:val="none"/>
          <w:u w:val="single"/>
          <w:lang w:val="en-US" w:eastAsia="zh-CN"/>
        </w:rPr>
        <w:t>个包；</w:t>
      </w:r>
      <w:r>
        <w:rPr>
          <w:rFonts w:hint="eastAsia" w:ascii="Times New Roman" w:hAnsi="Times New Roman" w:cs="Times New Roman"/>
          <w:szCs w:val="22"/>
          <w:highlight w:val="none"/>
          <w:u w:val="single"/>
          <w:lang w:val="en-US" w:eastAsia="zh-CN"/>
        </w:rPr>
        <w:t>撒布机1台、除雪铲5台、皮带运输机1台</w:t>
      </w:r>
    </w:p>
    <w:p w14:paraId="6A6FD5C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2.5最高限价</w:t>
      </w:r>
      <w:r>
        <w:rPr>
          <w:rFonts w:hint="default" w:ascii="Times New Roman" w:hAnsi="Times New Roman" w:cs="Times New Roman"/>
          <w:szCs w:val="22"/>
          <w:highlight w:val="none"/>
          <w:u w:val="none"/>
        </w:rPr>
        <w:t>：</w:t>
      </w:r>
      <w:r>
        <w:rPr>
          <w:rFonts w:hint="eastAsia" w:ascii="Times New Roman" w:hAnsi="Times New Roman" w:cs="Times New Roman"/>
          <w:szCs w:val="22"/>
          <w:highlight w:val="none"/>
          <w:u w:val="single"/>
          <w:lang w:val="en-US" w:eastAsia="zh-CN"/>
        </w:rPr>
        <w:t>39</w:t>
      </w:r>
      <w:r>
        <w:rPr>
          <w:rFonts w:hint="default" w:ascii="Times New Roman" w:hAnsi="Times New Roman" w:cs="Times New Roman"/>
          <w:szCs w:val="22"/>
          <w:highlight w:val="none"/>
          <w:u w:val="single"/>
          <w:lang w:val="en-US" w:eastAsia="zh-CN"/>
        </w:rPr>
        <w:t>万元</w:t>
      </w:r>
      <w:r>
        <w:rPr>
          <w:rFonts w:hint="eastAsia" w:ascii="Times New Roman" w:hAnsi="Times New Roman" w:cs="Times New Roman"/>
          <w:szCs w:val="22"/>
          <w:highlight w:val="none"/>
          <w:lang w:val="en-US" w:eastAsia="zh-CN"/>
        </w:rPr>
        <w:t xml:space="preserve"> </w:t>
      </w:r>
    </w:p>
    <w:p w14:paraId="26D41C6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60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r>
        <w:rPr>
          <w:rFonts w:hint="eastAsia" w:ascii="Times New Roman" w:hAnsi="Times New Roman" w:cs="Times New Roman"/>
          <w:szCs w:val="22"/>
          <w:highlight w:val="none"/>
          <w:lang w:val="en-US" w:eastAsia="zh-CN"/>
        </w:rPr>
        <w:t xml:space="preserve"> </w:t>
      </w:r>
    </w:p>
    <w:p w14:paraId="5253CFFF">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9" w:name="_Toc1622_WPSOffice_Level2"/>
      <w:bookmarkStart w:id="20" w:name="_Toc3714"/>
      <w:bookmarkStart w:id="21" w:name="_Toc22379_WPSOffice_Level2"/>
      <w:bookmarkStart w:id="22" w:name="_Toc31673_WPSOffice_Level2"/>
      <w:bookmarkStart w:id="23" w:name="_Toc6388"/>
      <w:bookmarkStart w:id="24" w:name="_Toc29516_WPSOffice_Level2"/>
      <w:bookmarkStart w:id="25" w:name="_Toc525632587"/>
      <w:r>
        <w:rPr>
          <w:rFonts w:hint="default" w:ascii="Times New Roman" w:hAnsi="Times New Roman" w:eastAsia="黑体" w:cs="Times New Roman"/>
          <w:bCs w:val="0"/>
          <w:sz w:val="24"/>
          <w:szCs w:val="24"/>
          <w:highlight w:val="none"/>
        </w:rPr>
        <w:t>供应商资格条件</w:t>
      </w:r>
      <w:bookmarkEnd w:id="19"/>
      <w:bookmarkEnd w:id="20"/>
      <w:bookmarkEnd w:id="21"/>
      <w:bookmarkEnd w:id="22"/>
      <w:bookmarkEnd w:id="23"/>
      <w:bookmarkEnd w:id="24"/>
      <w:bookmarkEnd w:id="25"/>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（设备</w:t>
      </w:r>
      <w:r>
        <w:rPr>
          <w:rFonts w:hint="eastAsia" w:ascii="Times New Roman" w:hAnsi="Times New Roman" w:cs="Times New Roman"/>
          <w:szCs w:val="22"/>
          <w:highlight w:val="none"/>
          <w:lang w:eastAsia="zh-CN"/>
        </w:rPr>
        <w:t>类产品必须提供</w:t>
      </w:r>
      <w:r>
        <w:rPr>
          <w:rFonts w:hint="default" w:ascii="Times New Roman" w:hAnsi="Times New Roman" w:eastAsia="宋体" w:cs="Times New Roman"/>
          <w:szCs w:val="21"/>
          <w:lang w:val="en-US" w:eastAsia="zh-CN"/>
        </w:rPr>
        <w:t>相应有效证明材料</w:t>
      </w:r>
      <w:r>
        <w:rPr>
          <w:rFonts w:hint="default" w:ascii="Times New Roman" w:hAnsi="Times New Roman" w:cs="Times New Roman"/>
          <w:szCs w:val="22"/>
          <w:highlight w:val="none"/>
          <w:lang w:eastAsia="zh-CN"/>
        </w:rPr>
        <w:t>）。</w:t>
      </w:r>
    </w:p>
    <w:p w14:paraId="3C4AA55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w:t>
      </w:r>
      <w:r>
        <w:rPr>
          <w:rFonts w:hint="eastAsia" w:ascii="Times New Roman" w:hAnsi="Times New Roman" w:cs="Times New Roman"/>
          <w:szCs w:val="22"/>
          <w:highlight w:val="none"/>
          <w:lang w:val="en-US" w:eastAsia="zh-CN"/>
        </w:rPr>
        <w:t>2</w:t>
      </w:r>
      <w:r>
        <w:rPr>
          <w:rFonts w:hint="default" w:ascii="Times New Roman" w:hAnsi="Times New Roman" w:cs="Times New Roman"/>
          <w:szCs w:val="22"/>
          <w:highlight w:val="none"/>
        </w:rPr>
        <w:t>）业绩最低要求：</w:t>
      </w:r>
    </w:p>
    <w:p w14:paraId="50B4726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rPr>
      </w:pP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9</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累计合同金额不少于40万元供货业绩。代理商可使用所代理设备制造商的供货业绩。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（3）信誉要求最低要求：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⑤在近三年内（自响应文件递交截止之日向前追溯3年）供应商或其法定代表人未有行贿犯罪行为；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4109_WPSOffice_Level2"/>
      <w:bookmarkStart w:id="27" w:name="_Toc525632588"/>
      <w:bookmarkStart w:id="28" w:name="_Toc4751"/>
      <w:bookmarkStart w:id="29" w:name="_Toc29452_WPSOffice_Level2"/>
      <w:bookmarkStart w:id="30" w:name="_Toc2996_WPSOffice_Level2"/>
      <w:bookmarkStart w:id="31" w:name="_Toc25666_WPSOffice_Level2"/>
      <w:bookmarkStart w:id="32" w:name="_Toc1994"/>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供应商应在递交响应文件的</w:t>
      </w:r>
      <w:r>
        <w:rPr>
          <w:rFonts w:hint="default" w:ascii="Times New Roman" w:hAnsi="Times New Roman" w:cs="Times New Roman"/>
          <w:szCs w:val="22"/>
          <w:highlight w:val="none"/>
        </w:rPr>
        <w:t>截止时间前登录安徽交运集团网站（http://www.ahjyjt.com.cn/），选择所参加的合同包，自行下载询比文件及相关资料。</w:t>
      </w:r>
    </w:p>
    <w:p w14:paraId="188CD29C">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3" w:name="_Toc726"/>
      <w:bookmarkStart w:id="34" w:name="_Toc525632589"/>
      <w:r>
        <w:rPr>
          <w:rFonts w:hint="default" w:ascii="Times New Roman" w:hAnsi="Times New Roman" w:eastAsia="黑体" w:cs="Times New Roman"/>
          <w:bCs w:val="0"/>
          <w:sz w:val="24"/>
          <w:szCs w:val="24"/>
          <w:highlight w:val="none"/>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9 </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18  </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5" w:name="_Toc525632591"/>
      <w:bookmarkStart w:id="36" w:name="_Toc22719"/>
      <w:r>
        <w:rPr>
          <w:rFonts w:hint="default" w:ascii="Times New Roman" w:hAnsi="Times New Roman" w:eastAsia="黑体" w:cs="Times New Roman"/>
          <w:bCs w:val="0"/>
          <w:sz w:val="24"/>
          <w:szCs w:val="24"/>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响应文件的递交截止时间到后，采购人将于</w:t>
      </w:r>
      <w:r>
        <w:rPr>
          <w:rFonts w:hint="default" w:ascii="Times New Roman" w:hAnsi="Times New Roman" w:cs="Times New Roman"/>
          <w:szCs w:val="22"/>
          <w:u w:val="single"/>
        </w:rPr>
        <w:t>交通饭店三楼会议室</w:t>
      </w:r>
      <w:r>
        <w:rPr>
          <w:rFonts w:hint="default" w:ascii="Times New Roman" w:hAnsi="Times New Roman" w:cs="Times New Roman"/>
          <w:szCs w:val="22"/>
        </w:rPr>
        <w:t>（地点）组织进行响应文件的启封。供应商的法定代表人或授权代理人应携带本人身份证、授权代理人应携带授权委托书准时参加启封会议。</w:t>
      </w:r>
    </w:p>
    <w:p w14:paraId="7541D263">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响应保证金</w:t>
      </w:r>
    </w:p>
    <w:p w14:paraId="132B98DB">
      <w:pPr>
        <w:pStyle w:val="2"/>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9</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17</w:t>
      </w:r>
      <w:r>
        <w:rPr>
          <w:rFonts w:hint="default" w:ascii="Times New Roman" w:hAnsi="Times New Roman" w:cs="Times New Roman"/>
          <w:highlight w:val="none"/>
        </w:rPr>
        <w:t>日15：00前，将响应报名表发送至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26829"/>
      <w:bookmarkStart w:id="38" w:name="_Toc321_WPSOffice_Level2"/>
      <w:bookmarkStart w:id="39" w:name="_Toc525632592"/>
      <w:bookmarkStart w:id="40" w:name="_Toc14943_WPSOffice_Level2"/>
      <w:bookmarkStart w:id="41" w:name="_Toc28571_WPSOffice_Level2"/>
      <w:bookmarkStart w:id="42" w:name="_Toc20572_WPSOffice_Level2"/>
      <w:bookmarkStart w:id="43" w:name="_Toc8501"/>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48468808">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Cs w:val="28"/>
          <w:highlight w:val="none"/>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9</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10</w:t>
      </w:r>
      <w:r>
        <w:rPr>
          <w:rFonts w:hint="default" w:ascii="Times New Roman" w:hAnsi="Times New Roman" w:cs="Times New Roman"/>
          <w:color w:val="auto"/>
          <w:sz w:val="21"/>
          <w:szCs w:val="22"/>
          <w:highlight w:val="none"/>
        </w:rPr>
        <w:t>日</w:t>
      </w:r>
    </w:p>
    <w:p w14:paraId="636A1FBA">
      <w:pPr>
        <w:widowControl/>
        <w:jc w:val="left"/>
        <w:rPr>
          <w:rFonts w:hint="default" w:ascii="Times New Roman" w:hAnsi="Times New Roman" w:cs="Times New Roman"/>
          <w:b/>
          <w:sz w:val="36"/>
          <w:szCs w:val="36"/>
        </w:rPr>
      </w:pPr>
    </w:p>
    <w:p w14:paraId="38FB390F">
      <w:pPr>
        <w:spacing w:line="360" w:lineRule="auto"/>
        <w:jc w:val="center"/>
        <w:rPr>
          <w:rFonts w:hint="default" w:ascii="Times New Roman" w:hAnsi="Times New Roman" w:cs="Times New Roman"/>
          <w:b/>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2"/>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2"/>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4"/>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4"/>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3"/>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default" w:ascii="Times New Roman" w:hAnsi="Times New Roman" w:cs="Times New Roman"/>
          <w:lang w:val="en-US" w:eastAsia="zh-CN"/>
        </w:rPr>
        <w:t>2个包</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26656960"/>
      <w:bookmarkStart w:id="45" w:name="_Toc14201229"/>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26656961"/>
      <w:bookmarkStart w:id="47" w:name="_Toc14201230"/>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26656963"/>
      <w:bookmarkStart w:id="49" w:name="_Toc14201232"/>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9067725"/>
      <w:bookmarkStart w:id="51" w:name="_Toc26656972"/>
      <w:bookmarkStart w:id="52" w:name="_Toc14201241"/>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26656973"/>
      <w:bookmarkStart w:id="54" w:name="_Toc14201242"/>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14201244"/>
      <w:bookmarkStart w:id="56" w:name="_Toc26656975"/>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9067726"/>
      <w:bookmarkStart w:id="58" w:name="_Toc2665697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14201246"/>
      <w:bookmarkStart w:id="61" w:name="_Toc26656977"/>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26656978"/>
      <w:bookmarkStart w:id="63" w:name="_Toc14201247"/>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26656979"/>
      <w:bookmarkStart w:id="65" w:name="_Toc14201248"/>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14201253"/>
      <w:bookmarkStart w:id="67" w:name="_Toc26656984"/>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14201257"/>
      <w:bookmarkStart w:id="69" w:name="_Toc9067727"/>
      <w:bookmarkStart w:id="70" w:name="_Toc26656988"/>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26656993"/>
      <w:bookmarkStart w:id="72" w:name="_Toc14201262"/>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14201263"/>
      <w:bookmarkStart w:id="74" w:name="_Toc9067731"/>
      <w:bookmarkStart w:id="75" w:name="_Toc26656994"/>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3"/>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lang w:val="en-US" w:eastAsia="zh-CN"/>
              </w:rPr>
              <w:t>2个</w:t>
            </w:r>
            <w:r>
              <w:rPr>
                <w:rFonts w:hint="default" w:ascii="Times New Roman" w:hAnsi="Times New Roman" w:eastAsia="宋体" w:cs="Times New Roman"/>
                <w:kern w:val="0"/>
                <w:szCs w:val="21"/>
              </w:rPr>
              <w:t>包</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20B448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设备技术性能指标中完全满足供货要求的，得满分24分，技术参数每负偏离一条扣2分，扣完为止。</w:t>
            </w:r>
            <w:r>
              <w:rPr>
                <w:rFonts w:hint="default" w:ascii="Times New Roman" w:hAnsi="Times New Roman" w:eastAsia="宋体" w:cs="Times New Roman"/>
                <w:b/>
                <w:bCs w:val="0"/>
                <w:color w:val="auto"/>
                <w:sz w:val="21"/>
                <w:szCs w:val="21"/>
                <w:highlight w:val="none"/>
              </w:rPr>
              <w:t>技术参数指标（买方要求）</w:t>
            </w:r>
            <w:r>
              <w:rPr>
                <w:rFonts w:hint="default" w:ascii="Times New Roman" w:hAnsi="Times New Roman" w:eastAsia="宋体" w:cs="Times New Roman"/>
                <w:b/>
                <w:bCs w:val="0"/>
                <w:color w:val="auto"/>
                <w:kern w:val="0"/>
                <w:sz w:val="21"/>
                <w:szCs w:val="21"/>
                <w:highlight w:val="none"/>
                <w:lang w:val="en-US" w:eastAsia="zh-CN"/>
              </w:rPr>
              <w:t>所有带“</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”技术参数必须满足</w:t>
            </w:r>
            <w:r>
              <w:rPr>
                <w:rFonts w:hint="eastAsia" w:ascii="Times New Roman" w:hAnsi="Times New Roman" w:eastAsia="宋体" w:cs="Times New Roman"/>
                <w:b/>
                <w:bCs w:val="0"/>
                <w:color w:val="auto"/>
                <w:kern w:val="0"/>
                <w:sz w:val="21"/>
                <w:szCs w:val="21"/>
                <w:highlight w:val="none"/>
                <w:lang w:val="en-US" w:eastAsia="zh-CN"/>
              </w:rPr>
              <w:t>，如不满足，投标将被否决。</w:t>
            </w:r>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注：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2"/>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2"/>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3"/>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2</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 。</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60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default" w:ascii="Times New Roman" w:hAnsi="Times New Roman" w:cs="Times New Roman"/>
          <w:szCs w:val="21"/>
          <w:lang w:val="en-US" w:eastAsia="zh-CN"/>
        </w:rPr>
        <w:t>30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24</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24</w:t>
      </w:r>
      <w:r>
        <w:rPr>
          <w:rFonts w:hint="default" w:ascii="Times New Roman" w:hAnsi="Times New Roman" w:cs="Times New Roman"/>
          <w:szCs w:val="21"/>
        </w:rPr>
        <w:t>个月）甲方将剩余的保留金无息退还给乙方。</w:t>
      </w:r>
    </w:p>
    <w:p w14:paraId="645E5931">
      <w:pPr>
        <w:pStyle w:val="6"/>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7"/>
        <w:rPr>
          <w:rFonts w:hint="default" w:ascii="Times New Roman" w:hAnsi="Times New Roman" w:cs="Times New Roman"/>
          <w:szCs w:val="21"/>
        </w:rPr>
      </w:pPr>
    </w:p>
    <w:p w14:paraId="6B00AAE2">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7"/>
        <w:rPr>
          <w:rFonts w:hint="default" w:ascii="Times New Roman" w:hAnsi="Times New Roman" w:cs="Times New Roman"/>
          <w:szCs w:val="21"/>
        </w:rPr>
      </w:pPr>
    </w:p>
    <w:p w14:paraId="35803A3F">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7"/>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2"/>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4"/>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3"/>
        <w:numPr>
          <w:ilvl w:val="0"/>
          <w:numId w:val="4"/>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p w14:paraId="18D8E19A">
      <w:pPr>
        <w:autoSpaceDE w:val="0"/>
        <w:spacing w:line="240" w:lineRule="auto"/>
        <w:jc w:val="center"/>
        <w:outlineLvl w:val="0"/>
        <w:rPr>
          <w:rFonts w:hint="default" w:ascii="Times New Roman" w:hAnsi="Times New Roman" w:eastAsia="宋体" w:cs="Times New Roman"/>
          <w:b/>
          <w:sz w:val="21"/>
          <w:szCs w:val="21"/>
          <w:lang w:val="en-US" w:eastAsia="zh-CN"/>
        </w:rPr>
      </w:pPr>
      <w:bookmarkStart w:id="79" w:name="_Toc101186772"/>
      <w:bookmarkStart w:id="80" w:name="_Toc9834_WPSOffice_Level1"/>
      <w:r>
        <w:rPr>
          <w:rFonts w:hint="default" w:ascii="Times New Roman" w:hAnsi="Times New Roman" w:eastAsia="宋体" w:cs="Times New Roman"/>
          <w:b/>
          <w:sz w:val="21"/>
          <w:szCs w:val="21"/>
          <w:lang w:val="en-US" w:eastAsia="zh-CN"/>
        </w:rPr>
        <w:t>撒布机技术性能指标要求</w:t>
      </w:r>
    </w:p>
    <w:tbl>
      <w:tblPr>
        <w:tblStyle w:val="15"/>
        <w:tblpPr w:leftFromText="180" w:rightFromText="180" w:vertAnchor="text" w:tblpXSpec="center" w:tblpY="1"/>
        <w:tblOverlap w:val="never"/>
        <w:tblW w:w="5001"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64"/>
        <w:gridCol w:w="7654"/>
      </w:tblGrid>
      <w:tr w14:paraId="1AFC17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B5BDB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A1EA7C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融雪剂撒布机技术参数要求</w:t>
            </w:r>
          </w:p>
        </w:tc>
      </w:tr>
      <w:tr w14:paraId="67BAD6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D55AA3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53206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总质量：≥2500kg</w:t>
            </w:r>
          </w:p>
        </w:tc>
      </w:tr>
      <w:tr w14:paraId="26EDCF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8548B4">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3.2</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85F85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外形尺寸（长×宽×高mm）≥5660±×2260±×2100±500</w:t>
            </w:r>
          </w:p>
        </w:tc>
      </w:tr>
      <w:tr w14:paraId="1CC8EE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55"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0F984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3.3</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372BD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撒布机适当高度依据《公路养护安全作业规程》（JTG H30-2015）安装闪光箭头（长×宽≥1200mm×400mm，蓝黑底，黄色箭头）、车辆闪光灯（360°旋转闪光灯）</w:t>
            </w:r>
          </w:p>
        </w:tc>
      </w:tr>
      <w:tr w14:paraId="599A3A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290"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D0BD21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3.4</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92358EB">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整机结构需采用防腐蚀结构设计，贮料仓内部、撒布系统及外露件须经防腐蚀表面处理涂有防腐涂层（静电喷涂工艺，表面喷涂需达到SA2.5级别），保证与盐类材料长期接触后不锈蚀，耐盐雾腐蚀：≥2000小时（须提供各关键部位材料说明）。</w:t>
            </w:r>
          </w:p>
        </w:tc>
      </w:tr>
      <w:tr w14:paraId="203337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55"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D1DE2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3.5</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C88A90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撒布机料仓容量：≥12m³，料仓上方配置过滤网，减少大颗粒或杂物进入设备，保证机构安全运行。</w:t>
            </w:r>
          </w:p>
        </w:tc>
      </w:tr>
      <w:tr w14:paraId="4B4B0E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A6D39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3.6</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DF5D31D">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撒布机撒布由全液压驱动，液压系统工作压力≥12MPa。</w:t>
            </w:r>
          </w:p>
        </w:tc>
      </w:tr>
      <w:tr w14:paraId="485394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73"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9558F7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3.7</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20FB827">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撒布机应具有左右对称、单左方向、单右方向撒布三种撒布模式，撒布宽度：3-10m之间，撒布密度20～120 g/㎡任意可调，可在驾驶室内实现左侧或右侧的单侧撒布，安装有缺料报警装置。</w:t>
            </w:r>
          </w:p>
        </w:tc>
      </w:tr>
      <w:tr w14:paraId="4185D8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73"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8939A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3.8</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765675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驾驶室控制采用智能监控系统，可触摸控制或按钮操作，在驾驶室内控制，可随时对撒布机启动及关闭、撒布量大小、撒盐盘（拨料器）转速等进行任意调节，具有光控料空报警装置。具有查询撒布工作记录功能。</w:t>
            </w:r>
          </w:p>
        </w:tc>
      </w:tr>
      <w:tr w14:paraId="3EA3CB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55"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D8B236A">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3.9</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129B2D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撒布盘为全不锈钢材质，直径≥500mm；向上翻转带助力装置；以方便板结融雪物料清除</w:t>
            </w:r>
          </w:p>
        </w:tc>
      </w:tr>
      <w:tr w14:paraId="5ADA41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96830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3.10</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19DC2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撒布盘对地高度可任意调节，以适应不同车型。</w:t>
            </w:r>
          </w:p>
        </w:tc>
      </w:tr>
      <w:tr w14:paraId="4811D6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ECF9F6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3.11</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602B3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撒布机可实现不经撒布盘，通过向上翻转撒布盘可方便卸除撒布机内剩余融雪剂。</w:t>
            </w:r>
          </w:p>
        </w:tc>
      </w:tr>
      <w:tr w14:paraId="4A5890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73"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3784F5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3.12</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8623B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钢制履带式或皮带式或刮板链条式输料器，坚固耐用抗腐蚀性优良，履带有效宽度：≥450mm或皮带及刮板有效宽度：≥420mm，液压泵带动液压变速箱，驱动输料器，能避免打滑、丢转产生的漏撒、撒布不均匀等现象</w:t>
            </w:r>
          </w:p>
        </w:tc>
      </w:tr>
      <w:tr w14:paraId="781761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55"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6425C0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3.13</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FB037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防雨布具备自动或手动启闭防雨篷布的装置，料仓带有过滤安全网，可以滤除融雪剂中大型异物，保护设备安全。</w:t>
            </w:r>
          </w:p>
        </w:tc>
      </w:tr>
      <w:tr w14:paraId="78842D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73"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A8AB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3.14</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5CD36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料仓内部设有防止融雪剂板结的装置，该装置用于防止由于融雪剂因运输颠簸或受潮板结而无法输送的现象；皮带（履带）上方设有倒V形防堵塞隔板，减少融雪剂对输料器（皮带）的压力。</w:t>
            </w:r>
          </w:p>
        </w:tc>
      </w:tr>
      <w:tr w14:paraId="1598B6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969A4A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3.15</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57D473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撒布机出料槽上方安装防护栏，防护栏高度不低于1.5m.确保工人作业安全。</w:t>
            </w:r>
          </w:p>
        </w:tc>
      </w:tr>
      <w:tr w14:paraId="62C1E0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39F9FD7">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3.16</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2E04E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须安装晚间工作时的车后双向灯。</w:t>
            </w:r>
          </w:p>
        </w:tc>
      </w:tr>
      <w:tr w14:paraId="39E99E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073323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3.17</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10AEF7">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使用柴油发动机作为动力，辅助柴油箱容积≥20L.</w:t>
            </w:r>
          </w:p>
        </w:tc>
      </w:tr>
      <w:tr w14:paraId="2A89D8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6D28E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D9A049B">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供货要求</w:t>
            </w:r>
          </w:p>
        </w:tc>
      </w:tr>
      <w:tr w14:paraId="2E0033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BBC50A">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4.1</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02725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设备整体颜色为工程黄色</w:t>
            </w:r>
          </w:p>
        </w:tc>
      </w:tr>
      <w:tr w14:paraId="38638A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7A8A92">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4.2.16</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FD149D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交货期：≤60天（合同签订后60天内）</w:t>
            </w:r>
          </w:p>
        </w:tc>
      </w:tr>
      <w:tr w14:paraId="21ABF6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57" w:hRule="atLeast"/>
        </w:trPr>
        <w:tc>
          <w:tcPr>
            <w:tcW w:w="507"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6D06D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4.2.17</w:t>
            </w:r>
          </w:p>
        </w:tc>
        <w:tc>
          <w:tcPr>
            <w:tcW w:w="449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F30F12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质保期：24个月</w:t>
            </w:r>
          </w:p>
        </w:tc>
      </w:tr>
    </w:tbl>
    <w:p w14:paraId="6E2664C4">
      <w:pPr>
        <w:autoSpaceDE w:val="0"/>
        <w:spacing w:line="240" w:lineRule="auto"/>
        <w:jc w:val="center"/>
        <w:outlineLvl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sz w:val="21"/>
          <w:szCs w:val="21"/>
          <w:lang w:val="en-US" w:eastAsia="zh-CN"/>
        </w:rPr>
        <w:t>除雪铲技术性能指标要求</w:t>
      </w:r>
    </w:p>
    <w:tbl>
      <w:tblPr>
        <w:tblStyle w:val="1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7616"/>
      </w:tblGrid>
      <w:tr w14:paraId="238B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22D50157">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一</w:t>
            </w:r>
          </w:p>
        </w:tc>
        <w:tc>
          <w:tcPr>
            <w:tcW w:w="7616" w:type="dxa"/>
            <w:tcBorders>
              <w:top w:val="single" w:color="auto" w:sz="4" w:space="0"/>
              <w:left w:val="single" w:color="auto" w:sz="4" w:space="0"/>
              <w:bottom w:val="single" w:color="auto" w:sz="4" w:space="0"/>
              <w:right w:val="single" w:color="auto" w:sz="4" w:space="0"/>
            </w:tcBorders>
            <w:vAlign w:val="center"/>
          </w:tcPr>
          <w:p w14:paraId="60A1356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独立除雪铲买方要求</w:t>
            </w:r>
          </w:p>
        </w:tc>
      </w:tr>
      <w:tr w14:paraId="0DCC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DA38274">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7616" w:type="dxa"/>
            <w:tcBorders>
              <w:top w:val="single" w:color="auto" w:sz="4" w:space="0"/>
              <w:left w:val="single" w:color="auto" w:sz="4" w:space="0"/>
              <w:bottom w:val="single" w:color="auto" w:sz="4" w:space="0"/>
              <w:right w:val="single" w:color="auto" w:sz="4" w:space="0"/>
            </w:tcBorders>
            <w:vAlign w:val="center"/>
          </w:tcPr>
          <w:p w14:paraId="44D0800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用途:本机具用于高速公路畅通保障应急养护</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独立成套，车辆另外租用</w:t>
            </w:r>
          </w:p>
        </w:tc>
      </w:tr>
      <w:tr w14:paraId="4E26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7A1E87D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7616" w:type="dxa"/>
            <w:tcBorders>
              <w:top w:val="single" w:color="auto" w:sz="4" w:space="0"/>
              <w:left w:val="single" w:color="auto" w:sz="4" w:space="0"/>
              <w:bottom w:val="single" w:color="auto" w:sz="4" w:space="0"/>
              <w:right w:val="single" w:color="auto" w:sz="4" w:space="0"/>
            </w:tcBorders>
            <w:vAlign w:val="center"/>
          </w:tcPr>
          <w:p w14:paraId="004E127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供货范围</w:t>
            </w:r>
          </w:p>
        </w:tc>
      </w:tr>
      <w:tr w14:paraId="7A7D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4296E810">
            <w:pPr>
              <w:jc w:val="both"/>
              <w:rPr>
                <w:rFonts w:hint="default" w:ascii="Times New Roman" w:hAnsi="Times New Roman" w:eastAsia="宋体" w:cs="Times New Roman"/>
                <w:sz w:val="21"/>
                <w:szCs w:val="21"/>
                <w:lang w:val="en-US" w:eastAsia="zh-CN"/>
              </w:rPr>
            </w:pPr>
          </w:p>
        </w:tc>
        <w:tc>
          <w:tcPr>
            <w:tcW w:w="7616" w:type="dxa"/>
            <w:tcBorders>
              <w:top w:val="single" w:color="auto" w:sz="4" w:space="0"/>
              <w:left w:val="single" w:color="auto" w:sz="4" w:space="0"/>
              <w:bottom w:val="single" w:color="auto" w:sz="4" w:space="0"/>
              <w:right w:val="single" w:color="auto" w:sz="4" w:space="0"/>
            </w:tcBorders>
            <w:vAlign w:val="center"/>
          </w:tcPr>
          <w:p w14:paraId="3251783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雪铲系统</w:t>
            </w:r>
          </w:p>
        </w:tc>
      </w:tr>
      <w:tr w14:paraId="0799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6A36BA1B">
            <w:pPr>
              <w:jc w:val="both"/>
              <w:rPr>
                <w:rFonts w:hint="default" w:ascii="Times New Roman" w:hAnsi="Times New Roman" w:eastAsia="宋体" w:cs="Times New Roman"/>
                <w:sz w:val="21"/>
                <w:szCs w:val="21"/>
                <w:lang w:val="en-US" w:eastAsia="zh-CN"/>
              </w:rPr>
            </w:pPr>
          </w:p>
        </w:tc>
        <w:tc>
          <w:tcPr>
            <w:tcW w:w="7616" w:type="dxa"/>
            <w:tcBorders>
              <w:top w:val="single" w:color="auto" w:sz="4" w:space="0"/>
              <w:left w:val="single" w:color="auto" w:sz="4" w:space="0"/>
              <w:bottom w:val="single" w:color="auto" w:sz="4" w:space="0"/>
              <w:right w:val="single" w:color="auto" w:sz="4" w:space="0"/>
            </w:tcBorders>
            <w:vAlign w:val="center"/>
          </w:tcPr>
          <w:p w14:paraId="508E8BE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相关技术服务及验收杂费</w:t>
            </w:r>
          </w:p>
        </w:tc>
      </w:tr>
      <w:tr w14:paraId="0C2A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1523BAB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w:t>
            </w:r>
          </w:p>
        </w:tc>
        <w:tc>
          <w:tcPr>
            <w:tcW w:w="7616" w:type="dxa"/>
            <w:tcBorders>
              <w:top w:val="single" w:color="auto" w:sz="4" w:space="0"/>
              <w:left w:val="single" w:color="auto" w:sz="4" w:space="0"/>
              <w:bottom w:val="single" w:color="auto" w:sz="4" w:space="0"/>
              <w:right w:val="single" w:color="auto" w:sz="4" w:space="0"/>
            </w:tcBorders>
            <w:vAlign w:val="center"/>
          </w:tcPr>
          <w:p w14:paraId="16BDD89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技术数据</w:t>
            </w:r>
          </w:p>
        </w:tc>
      </w:tr>
      <w:tr w14:paraId="0014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65CD326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w:t>
            </w:r>
          </w:p>
        </w:tc>
        <w:tc>
          <w:tcPr>
            <w:tcW w:w="7616" w:type="dxa"/>
            <w:tcBorders>
              <w:top w:val="single" w:color="auto" w:sz="4" w:space="0"/>
              <w:left w:val="single" w:color="auto" w:sz="4" w:space="0"/>
              <w:bottom w:val="single" w:color="auto" w:sz="4" w:space="0"/>
              <w:right w:val="single" w:color="auto" w:sz="4" w:space="0"/>
            </w:tcBorders>
            <w:vAlign w:val="center"/>
          </w:tcPr>
          <w:p w14:paraId="0C14412A">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除雪铲性能及配置</w:t>
            </w:r>
          </w:p>
        </w:tc>
      </w:tr>
      <w:tr w14:paraId="2F5C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148713D">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w:t>
            </w:r>
          </w:p>
        </w:tc>
        <w:tc>
          <w:tcPr>
            <w:tcW w:w="7616" w:type="dxa"/>
            <w:tcBorders>
              <w:top w:val="single" w:color="auto" w:sz="4" w:space="0"/>
              <w:left w:val="single" w:color="auto" w:sz="4" w:space="0"/>
              <w:bottom w:val="single" w:color="auto" w:sz="4" w:space="0"/>
              <w:right w:val="single" w:color="auto" w:sz="4" w:space="0"/>
            </w:tcBorders>
            <w:vAlign w:val="center"/>
          </w:tcPr>
          <w:p w14:paraId="432CF91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用于高速公路道桥面冬季除雪作业</w:t>
            </w:r>
          </w:p>
        </w:tc>
      </w:tr>
      <w:tr w14:paraId="1F9F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189F7C7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4.2.2</w:t>
            </w:r>
          </w:p>
        </w:tc>
        <w:tc>
          <w:tcPr>
            <w:tcW w:w="7616" w:type="dxa"/>
            <w:tcBorders>
              <w:top w:val="single" w:color="auto" w:sz="4" w:space="0"/>
              <w:left w:val="single" w:color="auto" w:sz="4" w:space="0"/>
              <w:bottom w:val="single" w:color="auto" w:sz="4" w:space="0"/>
              <w:right w:val="single" w:color="auto" w:sz="4" w:space="0"/>
            </w:tcBorders>
            <w:vAlign w:val="center"/>
          </w:tcPr>
          <w:p w14:paraId="3976DA3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形式：卡车前悬挂式</w:t>
            </w:r>
          </w:p>
        </w:tc>
      </w:tr>
      <w:tr w14:paraId="3025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B03CA8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4.2.3</w:t>
            </w:r>
          </w:p>
        </w:tc>
        <w:tc>
          <w:tcPr>
            <w:tcW w:w="7616" w:type="dxa"/>
            <w:tcBorders>
              <w:top w:val="single" w:color="auto" w:sz="4" w:space="0"/>
              <w:left w:val="single" w:color="auto" w:sz="4" w:space="0"/>
              <w:bottom w:val="single" w:color="auto" w:sz="4" w:space="0"/>
              <w:right w:val="single" w:color="auto" w:sz="4" w:space="0"/>
            </w:tcBorders>
            <w:vAlign w:val="center"/>
          </w:tcPr>
          <w:p w14:paraId="1B7D474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*具有独立液压系统，液压站功率:≥2kw，全液压驱动，液压系统额定工作压力：≥12Mpa，液压系统流量：≥8L/min</w:t>
            </w:r>
          </w:p>
        </w:tc>
      </w:tr>
      <w:tr w14:paraId="18E1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201115C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4.2.4</w:t>
            </w:r>
          </w:p>
        </w:tc>
        <w:tc>
          <w:tcPr>
            <w:tcW w:w="7616" w:type="dxa"/>
            <w:tcBorders>
              <w:top w:val="single" w:color="auto" w:sz="4" w:space="0"/>
              <w:left w:val="single" w:color="auto" w:sz="4" w:space="0"/>
              <w:bottom w:val="single" w:color="auto" w:sz="4" w:space="0"/>
              <w:right w:val="single" w:color="auto" w:sz="4" w:space="0"/>
            </w:tcBorders>
            <w:vAlign w:val="center"/>
          </w:tcPr>
          <w:p w14:paraId="4A7C2D42">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除雪铲举升机构采用平行四连杆结构直接举升，拒绝通过链条举升。</w:t>
            </w:r>
          </w:p>
        </w:tc>
      </w:tr>
      <w:tr w14:paraId="4608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0DC506A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4.2.5</w:t>
            </w:r>
          </w:p>
        </w:tc>
        <w:tc>
          <w:tcPr>
            <w:tcW w:w="7616" w:type="dxa"/>
            <w:tcBorders>
              <w:top w:val="single" w:color="auto" w:sz="4" w:space="0"/>
              <w:left w:val="single" w:color="auto" w:sz="4" w:space="0"/>
              <w:bottom w:val="single" w:color="auto" w:sz="4" w:space="0"/>
              <w:right w:val="single" w:color="auto" w:sz="4" w:space="0"/>
            </w:tcBorders>
            <w:vAlign w:val="center"/>
          </w:tcPr>
          <w:p w14:paraId="5A9CA23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*推雪板铲刃具有耐磨性和抗冲击能力强及可更换的特点，采用NM450材料，寿命：≥300h，采用2块分段铲刃，便于更换，单条铲刃尺寸（长*宽*高）≥1600*215*16mm。</w:t>
            </w:r>
          </w:p>
        </w:tc>
      </w:tr>
      <w:tr w14:paraId="22C3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586536EF">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4.2.6</w:t>
            </w:r>
          </w:p>
        </w:tc>
        <w:tc>
          <w:tcPr>
            <w:tcW w:w="7616" w:type="dxa"/>
            <w:tcBorders>
              <w:top w:val="single" w:color="auto" w:sz="4" w:space="0"/>
              <w:left w:val="single" w:color="auto" w:sz="4" w:space="0"/>
              <w:bottom w:val="single" w:color="auto" w:sz="4" w:space="0"/>
              <w:right w:val="single" w:color="auto" w:sz="4" w:space="0"/>
            </w:tcBorders>
            <w:vAlign w:val="center"/>
          </w:tcPr>
          <w:p w14:paraId="3DF95F24">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*推雪板宽：≥3200mm，工作宽度：≥2800-3200mm,可液压控制左右摆动角度左右摆动角度：≥0-±25°，有限位功能；自动调平角度：≥±4°</w:t>
            </w:r>
          </w:p>
        </w:tc>
      </w:tr>
      <w:tr w14:paraId="23D1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4C8E338D">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4.2.7</w:t>
            </w:r>
          </w:p>
        </w:tc>
        <w:tc>
          <w:tcPr>
            <w:tcW w:w="7616" w:type="dxa"/>
            <w:tcBorders>
              <w:top w:val="single" w:color="auto" w:sz="4" w:space="0"/>
              <w:left w:val="single" w:color="auto" w:sz="4" w:space="0"/>
              <w:bottom w:val="single" w:color="auto" w:sz="4" w:space="0"/>
              <w:right w:val="single" w:color="auto" w:sz="4" w:space="0"/>
            </w:tcBorders>
            <w:vAlign w:val="center"/>
          </w:tcPr>
          <w:p w14:paraId="065C73C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*推雪板高：≥1000mm，除雪板重量：≥950kg，对压实雪具有强制下压功能，保证在短时间内清除压实雪</w:t>
            </w:r>
          </w:p>
        </w:tc>
      </w:tr>
      <w:tr w14:paraId="622E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3E37A52">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4.2.8</w:t>
            </w:r>
          </w:p>
        </w:tc>
        <w:tc>
          <w:tcPr>
            <w:tcW w:w="7616" w:type="dxa"/>
            <w:tcBorders>
              <w:top w:val="single" w:color="auto" w:sz="4" w:space="0"/>
              <w:left w:val="single" w:color="auto" w:sz="4" w:space="0"/>
              <w:bottom w:val="single" w:color="auto" w:sz="4" w:space="0"/>
              <w:right w:val="single" w:color="auto" w:sz="4" w:space="0"/>
            </w:tcBorders>
            <w:vAlign w:val="center"/>
          </w:tcPr>
          <w:p w14:paraId="38D86F2F">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最大除雪速度：≥50km/h</w:t>
            </w:r>
          </w:p>
        </w:tc>
      </w:tr>
      <w:tr w14:paraId="02F7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231832B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4.2.9</w:t>
            </w:r>
          </w:p>
        </w:tc>
        <w:tc>
          <w:tcPr>
            <w:tcW w:w="7616" w:type="dxa"/>
            <w:tcBorders>
              <w:top w:val="single" w:color="auto" w:sz="4" w:space="0"/>
              <w:left w:val="single" w:color="auto" w:sz="4" w:space="0"/>
              <w:bottom w:val="single" w:color="auto" w:sz="4" w:space="0"/>
              <w:right w:val="single" w:color="auto" w:sz="4" w:space="0"/>
            </w:tcBorders>
            <w:vAlign w:val="center"/>
          </w:tcPr>
          <w:p w14:paraId="725D5E4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除雪板可采用弯曲流线型设计从而高速下具有抛雪功能。板面有钢制框架保护或配加强筋保护（加强筋个数：10±3），具有抗撞击能力。</w:t>
            </w:r>
          </w:p>
        </w:tc>
      </w:tr>
      <w:tr w14:paraId="2080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76369D2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4.2.10</w:t>
            </w:r>
          </w:p>
        </w:tc>
        <w:tc>
          <w:tcPr>
            <w:tcW w:w="7616" w:type="dxa"/>
            <w:tcBorders>
              <w:top w:val="single" w:color="auto" w:sz="4" w:space="0"/>
              <w:left w:val="single" w:color="auto" w:sz="4" w:space="0"/>
              <w:bottom w:val="single" w:color="auto" w:sz="4" w:space="0"/>
              <w:right w:val="single" w:color="auto" w:sz="4" w:space="0"/>
            </w:tcBorders>
            <w:vAlign w:val="center"/>
          </w:tcPr>
          <w:p w14:paraId="2838A78F">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具有浮动功能，以保作业时推雪板与地面的夹角始终不变；应具有对地施压功能以清除路面局部压实雪；六座簧下翻板式，三个为一组同时翻板，除雪铲两侧安装照明示廓示高LED工作警示灯，具有路缘石防碰撞装置</w:t>
            </w:r>
          </w:p>
        </w:tc>
      </w:tr>
      <w:tr w14:paraId="28A2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0CF20C7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4.2.11</w:t>
            </w:r>
          </w:p>
        </w:tc>
        <w:tc>
          <w:tcPr>
            <w:tcW w:w="7616" w:type="dxa"/>
            <w:tcBorders>
              <w:top w:val="single" w:color="auto" w:sz="4" w:space="0"/>
              <w:left w:val="single" w:color="auto" w:sz="4" w:space="0"/>
              <w:bottom w:val="single" w:color="auto" w:sz="4" w:space="0"/>
              <w:right w:val="single" w:color="auto" w:sz="4" w:space="0"/>
            </w:tcBorders>
            <w:vAlign w:val="center"/>
          </w:tcPr>
          <w:p w14:paraId="3CD3E91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*推雪板具有自动避障和自动复位功能，避障形式采用铲刃压缩式弹簧避障，遇到障碍物时铲板不动，铲刃分两段翻转，每段遇到障碍物均可独立翻转避障，减少冲击，不采用整体铲刃避障，越障高度：≥100mm</w:t>
            </w:r>
          </w:p>
        </w:tc>
      </w:tr>
      <w:tr w14:paraId="697E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723FC32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4.2.12</w:t>
            </w:r>
          </w:p>
        </w:tc>
        <w:tc>
          <w:tcPr>
            <w:tcW w:w="7616" w:type="dxa"/>
            <w:tcBorders>
              <w:top w:val="single" w:color="auto" w:sz="4" w:space="0"/>
              <w:left w:val="single" w:color="auto" w:sz="4" w:space="0"/>
              <w:bottom w:val="single" w:color="auto" w:sz="4" w:space="0"/>
              <w:right w:val="single" w:color="auto" w:sz="4" w:space="0"/>
            </w:tcBorders>
            <w:vAlign w:val="center"/>
          </w:tcPr>
          <w:p w14:paraId="132E124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推雪板要求具有路沿防碰撞和防伸缩缝功能，防撞装置尺寸（直径×长）：≥70*220。除雪铲上方加防护装置，防止冰雪飞溅至车辆挡风玻璃</w:t>
            </w:r>
          </w:p>
        </w:tc>
      </w:tr>
      <w:tr w14:paraId="5075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4112BC7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4.2.13</w:t>
            </w:r>
          </w:p>
        </w:tc>
        <w:tc>
          <w:tcPr>
            <w:tcW w:w="7616" w:type="dxa"/>
            <w:tcBorders>
              <w:top w:val="single" w:color="auto" w:sz="4" w:space="0"/>
              <w:left w:val="single" w:color="auto" w:sz="4" w:space="0"/>
              <w:bottom w:val="single" w:color="auto" w:sz="4" w:space="0"/>
              <w:right w:val="single" w:color="auto" w:sz="4" w:space="0"/>
            </w:tcBorders>
            <w:vAlign w:val="center"/>
          </w:tcPr>
          <w:p w14:paraId="06D5BB0A">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液压油缸需配置防尘罩</w:t>
            </w:r>
          </w:p>
        </w:tc>
      </w:tr>
      <w:tr w14:paraId="5624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987B3E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4.2.14</w:t>
            </w:r>
          </w:p>
        </w:tc>
        <w:tc>
          <w:tcPr>
            <w:tcW w:w="7616" w:type="dxa"/>
            <w:tcBorders>
              <w:top w:val="single" w:color="auto" w:sz="4" w:space="0"/>
              <w:left w:val="single" w:color="auto" w:sz="4" w:space="0"/>
              <w:bottom w:val="single" w:color="auto" w:sz="4" w:space="0"/>
              <w:right w:val="single" w:color="auto" w:sz="4" w:space="0"/>
            </w:tcBorders>
            <w:vAlign w:val="center"/>
          </w:tcPr>
          <w:p w14:paraId="260CDA7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交货期：≤60天（合同签订后60天内）</w:t>
            </w:r>
          </w:p>
        </w:tc>
      </w:tr>
      <w:tr w14:paraId="40C3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608F32F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4.2.15</w:t>
            </w:r>
          </w:p>
        </w:tc>
        <w:tc>
          <w:tcPr>
            <w:tcW w:w="7616" w:type="dxa"/>
            <w:tcBorders>
              <w:top w:val="single" w:color="auto" w:sz="4" w:space="0"/>
              <w:left w:val="single" w:color="auto" w:sz="4" w:space="0"/>
              <w:bottom w:val="single" w:color="auto" w:sz="4" w:space="0"/>
              <w:right w:val="single" w:color="auto" w:sz="4" w:space="0"/>
            </w:tcBorders>
            <w:vAlign w:val="center"/>
          </w:tcPr>
          <w:p w14:paraId="70A338B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质保期：24个月</w:t>
            </w:r>
          </w:p>
        </w:tc>
      </w:tr>
    </w:tbl>
    <w:p w14:paraId="47930086">
      <w:pPr>
        <w:jc w:val="center"/>
        <w:rPr>
          <w:rFonts w:hint="default" w:ascii="Times New Roman" w:hAnsi="Times New Roman" w:eastAsia="宋体" w:cs="Times New Roman"/>
          <w:sz w:val="21"/>
          <w:szCs w:val="21"/>
          <w:lang w:val="en-US" w:eastAsia="zh-CN"/>
        </w:rPr>
      </w:pPr>
    </w:p>
    <w:p w14:paraId="22AD2F24">
      <w:pPr>
        <w:jc w:val="center"/>
        <w:rPr>
          <w:rFonts w:hint="default" w:ascii="Times New Roman" w:hAnsi="Times New Roman" w:eastAsia="宋体"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C549C9F">
      <w:pPr>
        <w:autoSpaceDE w:val="0"/>
        <w:spacing w:line="240" w:lineRule="auto"/>
        <w:jc w:val="center"/>
        <w:outlineLvl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sz w:val="21"/>
          <w:szCs w:val="21"/>
          <w:lang w:val="en-US" w:eastAsia="zh-CN"/>
        </w:rPr>
        <w:t>皮带运输机技术性能指标要求</w:t>
      </w:r>
    </w:p>
    <w:tbl>
      <w:tblPr>
        <w:tblStyle w:val="15"/>
        <w:tblW w:w="8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7568"/>
      </w:tblGrid>
      <w:tr w14:paraId="6467F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0114B726">
            <w:pPr>
              <w:jc w:val="both"/>
              <w:rPr>
                <w:rFonts w:hint="default" w:ascii="Times New Roman" w:hAnsi="Times New Roman" w:eastAsia="宋体" w:cs="Times New Roman"/>
                <w:sz w:val="21"/>
                <w:szCs w:val="21"/>
              </w:rPr>
            </w:pPr>
          </w:p>
        </w:tc>
        <w:tc>
          <w:tcPr>
            <w:tcW w:w="7568" w:type="dxa"/>
            <w:vAlign w:val="center"/>
          </w:tcPr>
          <w:p w14:paraId="31FF5527">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输送机技术参数</w:t>
            </w:r>
          </w:p>
        </w:tc>
      </w:tr>
      <w:tr w14:paraId="3E4F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45A787D7">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7568" w:type="dxa"/>
            <w:vAlign w:val="center"/>
          </w:tcPr>
          <w:p w14:paraId="445EDCEB">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用途:本机具用于高速公路畅通保障应急养护辅助作业,独立成套</w:t>
            </w:r>
          </w:p>
        </w:tc>
      </w:tr>
      <w:tr w14:paraId="549A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4675ED52">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7568" w:type="dxa"/>
            <w:vAlign w:val="center"/>
          </w:tcPr>
          <w:p w14:paraId="0986C7CB">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数量：套</w:t>
            </w:r>
          </w:p>
        </w:tc>
      </w:tr>
      <w:tr w14:paraId="0965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374EFCB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7568" w:type="dxa"/>
            <w:vAlign w:val="center"/>
          </w:tcPr>
          <w:p w14:paraId="701D7FE2">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供货范围</w:t>
            </w:r>
          </w:p>
        </w:tc>
      </w:tr>
      <w:tr w14:paraId="0B3A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1FFA7714">
            <w:pPr>
              <w:jc w:val="both"/>
              <w:rPr>
                <w:rFonts w:hint="default" w:ascii="Times New Roman" w:hAnsi="Times New Roman" w:eastAsia="宋体" w:cs="Times New Roman"/>
                <w:sz w:val="21"/>
                <w:szCs w:val="21"/>
              </w:rPr>
            </w:pPr>
          </w:p>
        </w:tc>
        <w:tc>
          <w:tcPr>
            <w:tcW w:w="7568" w:type="dxa"/>
            <w:vAlign w:val="center"/>
          </w:tcPr>
          <w:p w14:paraId="56B2180D">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皮带输送系统</w:t>
            </w:r>
          </w:p>
        </w:tc>
      </w:tr>
      <w:tr w14:paraId="16CE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784D673">
            <w:pPr>
              <w:jc w:val="both"/>
              <w:rPr>
                <w:rFonts w:hint="default" w:ascii="Times New Roman" w:hAnsi="Times New Roman" w:eastAsia="宋体" w:cs="Times New Roman"/>
                <w:sz w:val="21"/>
                <w:szCs w:val="21"/>
              </w:rPr>
            </w:pPr>
          </w:p>
        </w:tc>
        <w:tc>
          <w:tcPr>
            <w:tcW w:w="7568" w:type="dxa"/>
            <w:vAlign w:val="center"/>
          </w:tcPr>
          <w:p w14:paraId="09430C64">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运输和保险仓储等</w:t>
            </w:r>
          </w:p>
        </w:tc>
      </w:tr>
      <w:tr w14:paraId="5182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0907E475">
            <w:pPr>
              <w:jc w:val="both"/>
              <w:rPr>
                <w:rFonts w:hint="default" w:ascii="Times New Roman" w:hAnsi="Times New Roman" w:eastAsia="宋体" w:cs="Times New Roman"/>
                <w:sz w:val="21"/>
                <w:szCs w:val="21"/>
              </w:rPr>
            </w:pPr>
          </w:p>
        </w:tc>
        <w:tc>
          <w:tcPr>
            <w:tcW w:w="7568" w:type="dxa"/>
            <w:vAlign w:val="center"/>
          </w:tcPr>
          <w:p w14:paraId="71B54944">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相关技术服务及验收杂费</w:t>
            </w:r>
          </w:p>
        </w:tc>
      </w:tr>
      <w:tr w14:paraId="41EF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4718718A">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7568" w:type="dxa"/>
            <w:vAlign w:val="center"/>
          </w:tcPr>
          <w:p w14:paraId="551AE305">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技术数据</w:t>
            </w:r>
          </w:p>
        </w:tc>
      </w:tr>
      <w:tr w14:paraId="25D6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52D95C4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w:t>
            </w:r>
          </w:p>
        </w:tc>
        <w:tc>
          <w:tcPr>
            <w:tcW w:w="7568" w:type="dxa"/>
            <w:vAlign w:val="center"/>
          </w:tcPr>
          <w:p w14:paraId="358D7705">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皮带输送机性能及配置</w:t>
            </w:r>
          </w:p>
        </w:tc>
      </w:tr>
      <w:tr w14:paraId="0489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6A386D6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4.2.1</w:t>
            </w:r>
          </w:p>
        </w:tc>
        <w:tc>
          <w:tcPr>
            <w:tcW w:w="7568" w:type="dxa"/>
            <w:vAlign w:val="center"/>
          </w:tcPr>
          <w:p w14:paraId="27915A4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用于高速公路道桥面冬季撒盐辅助作业</w:t>
            </w:r>
          </w:p>
        </w:tc>
      </w:tr>
      <w:tr w14:paraId="7E86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F911A55">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4.2.2</w:t>
            </w:r>
          </w:p>
        </w:tc>
        <w:tc>
          <w:tcPr>
            <w:tcW w:w="7568" w:type="dxa"/>
            <w:vAlign w:val="center"/>
          </w:tcPr>
          <w:p w14:paraId="0F8E9DB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形式：移动带式输送机，主骨架采用桁架式，槽钢支架，碳钢框架，槽型档护加裙边皮带，可升降调节</w:t>
            </w:r>
          </w:p>
        </w:tc>
      </w:tr>
      <w:tr w14:paraId="7B23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34D8FB4D">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4.2.3*</w:t>
            </w:r>
          </w:p>
        </w:tc>
        <w:tc>
          <w:tcPr>
            <w:tcW w:w="7568" w:type="dxa"/>
            <w:vAlign w:val="center"/>
          </w:tcPr>
          <w:p w14:paraId="20C11A13">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皮带长度：</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12m</w:t>
            </w:r>
          </w:p>
        </w:tc>
      </w:tr>
      <w:tr w14:paraId="3F86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8355D2B">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4.2.4*</w:t>
            </w:r>
          </w:p>
        </w:tc>
        <w:tc>
          <w:tcPr>
            <w:tcW w:w="7568" w:type="dxa"/>
            <w:vAlign w:val="center"/>
          </w:tcPr>
          <w:p w14:paraId="7BD7EAA0">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输送机皮带宽度</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0.6m</w:t>
            </w:r>
          </w:p>
        </w:tc>
      </w:tr>
      <w:tr w14:paraId="009C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6BDCCA6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4.2.5</w:t>
            </w:r>
          </w:p>
        </w:tc>
        <w:tc>
          <w:tcPr>
            <w:tcW w:w="7568" w:type="dxa"/>
            <w:vAlign w:val="center"/>
          </w:tcPr>
          <w:p w14:paraId="08E858C9">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加挡板皮带厚：</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8mm</w:t>
            </w:r>
          </w:p>
        </w:tc>
      </w:tr>
      <w:tr w14:paraId="6C16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7FD7DC9">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4.2.6*</w:t>
            </w:r>
          </w:p>
        </w:tc>
        <w:tc>
          <w:tcPr>
            <w:tcW w:w="7568" w:type="dxa"/>
            <w:vAlign w:val="center"/>
          </w:tcPr>
          <w:p w14:paraId="3F0F5751">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电机额定功率：</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4千瓦</w:t>
            </w:r>
          </w:p>
        </w:tc>
      </w:tr>
      <w:tr w14:paraId="612C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295DE8A1">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4.2.7*</w:t>
            </w:r>
          </w:p>
        </w:tc>
        <w:tc>
          <w:tcPr>
            <w:tcW w:w="7568" w:type="dxa"/>
            <w:vAlign w:val="center"/>
          </w:tcPr>
          <w:p w14:paraId="58B7FB23">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整机结构采用防腐蚀结构设计，外露件经防腐蚀表面处理，涂有防腐涂层，保证与盐类材料长期接触后不锈蚀</w:t>
            </w:r>
          </w:p>
        </w:tc>
      </w:tr>
      <w:tr w14:paraId="1CC5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48FE4FFA">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4.2.8*</w:t>
            </w:r>
          </w:p>
        </w:tc>
        <w:tc>
          <w:tcPr>
            <w:tcW w:w="7568" w:type="dxa"/>
            <w:vAlign w:val="center"/>
          </w:tcPr>
          <w:p w14:paraId="151B22C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输送高度</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5m</w:t>
            </w:r>
          </w:p>
        </w:tc>
      </w:tr>
      <w:tr w14:paraId="1CCF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575292BD">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4.2.9*</w:t>
            </w:r>
          </w:p>
        </w:tc>
        <w:tc>
          <w:tcPr>
            <w:tcW w:w="7568" w:type="dxa"/>
            <w:vAlign w:val="center"/>
          </w:tcPr>
          <w:p w14:paraId="1B877C06">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轮子直径：</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600mm；间距：</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1500mm</w:t>
            </w:r>
          </w:p>
        </w:tc>
      </w:tr>
      <w:tr w14:paraId="2D65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62FBB95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4.2.10*</w:t>
            </w:r>
          </w:p>
        </w:tc>
        <w:tc>
          <w:tcPr>
            <w:tcW w:w="7568" w:type="dxa"/>
            <w:vAlign w:val="center"/>
          </w:tcPr>
          <w:p w14:paraId="08D8D5C1">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主骨架钢管直径：</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48mm、壁厚3mm</w:t>
            </w:r>
          </w:p>
        </w:tc>
      </w:tr>
      <w:tr w14:paraId="4F92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B5D6EB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4.2.11*</w:t>
            </w:r>
          </w:p>
        </w:tc>
        <w:tc>
          <w:tcPr>
            <w:tcW w:w="7568" w:type="dxa"/>
            <w:vAlign w:val="center"/>
          </w:tcPr>
          <w:p w14:paraId="165FF34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颜色为工程黄色。</w:t>
            </w:r>
          </w:p>
        </w:tc>
      </w:tr>
      <w:tr w14:paraId="0073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359E3F8C">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4.2.12*</w:t>
            </w:r>
          </w:p>
        </w:tc>
        <w:tc>
          <w:tcPr>
            <w:tcW w:w="7568" w:type="dxa"/>
            <w:vAlign w:val="center"/>
          </w:tcPr>
          <w:p w14:paraId="5BC5E050">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每套配1耐用防雨罩</w:t>
            </w:r>
          </w:p>
        </w:tc>
      </w:tr>
    </w:tbl>
    <w:p w14:paraId="3B6F13D0">
      <w:pPr>
        <w:jc w:val="center"/>
        <w:rPr>
          <w:rFonts w:hint="default" w:ascii="Times New Roman" w:hAnsi="Times New Roman" w:eastAsia="宋体" w:cs="Times New Roman"/>
          <w:sz w:val="21"/>
          <w:szCs w:val="21"/>
          <w:lang w:val="en-US" w:eastAsia="zh-CN"/>
        </w:rPr>
      </w:pPr>
    </w:p>
    <w:p w14:paraId="075F1A54">
      <w:pPr>
        <w:jc w:val="center"/>
        <w:rPr>
          <w:rFonts w:hint="default" w:ascii="Times New Roman" w:hAnsi="Times New Roman" w:eastAsia="宋体"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CFB316C">
      <w:pPr>
        <w:autoSpaceDE w:val="0"/>
        <w:spacing w:line="240" w:lineRule="auto"/>
        <w:jc w:val="center"/>
        <w:outlineLvl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sz w:val="21"/>
          <w:szCs w:val="21"/>
          <w:lang w:val="en-US" w:eastAsia="zh-CN"/>
        </w:rPr>
        <w:t>技术服务范围、验收标准、培训及售后相关要求</w:t>
      </w:r>
    </w:p>
    <w:p w14:paraId="689174A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一、</w:t>
      </w:r>
      <w:r>
        <w:rPr>
          <w:rFonts w:hint="default" w:ascii="Times New Roman" w:hAnsi="Times New Roman" w:eastAsia="宋体" w:cs="Times New Roman"/>
          <w:b/>
          <w:bCs/>
          <w:sz w:val="21"/>
          <w:szCs w:val="21"/>
          <w:lang w:val="en-US" w:eastAsia="zh-CN"/>
        </w:rPr>
        <w:t>技术服务范围及验收标准</w:t>
      </w:r>
    </w:p>
    <w:p w14:paraId="625D4C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1、车辆规格性能均应符合或优于本标书的要求且为“零公里”新车，交货时车辆须带≥50升燃油。</w:t>
      </w:r>
    </w:p>
    <w:p w14:paraId="039235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2、提供厂家使用说明书及维修手册1套。</w:t>
      </w:r>
    </w:p>
    <w:p w14:paraId="027B9E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3、出示厂家检验报告及合格证明。</w:t>
      </w:r>
    </w:p>
    <w:p w14:paraId="2421928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4、外观上灯光和仪表应灵敏、完整、清晰、准确，整机涂漆光泽均匀、无油漆脱落锈蚀、碰伤，附具齐全完整。</w:t>
      </w:r>
    </w:p>
    <w:p w14:paraId="465B83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5、各部件性能可靠，无渗漏，无异响，转动灵活，制动良好。</w:t>
      </w:r>
    </w:p>
    <w:p w14:paraId="175C1C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6、验收期限：交货后一周内。</w:t>
      </w:r>
    </w:p>
    <w:p w14:paraId="0C2BF8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7、提供到货天数：60天（合同签订后60天内）。</w:t>
      </w:r>
    </w:p>
    <w:p w14:paraId="0AE1E647">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二、</w:t>
      </w:r>
      <w:r>
        <w:rPr>
          <w:rFonts w:hint="default" w:ascii="Times New Roman" w:hAnsi="Times New Roman" w:eastAsia="宋体" w:cs="Times New Roman"/>
          <w:b/>
          <w:bCs/>
          <w:sz w:val="21"/>
          <w:szCs w:val="21"/>
          <w:lang w:val="en-US" w:eastAsia="zh-CN"/>
        </w:rPr>
        <w:t>培训要求基本服务要求</w:t>
      </w:r>
    </w:p>
    <w:p w14:paraId="3B976E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1、车辆（设备）安全操作规范、安全操作程序、用途、结构及维护和保养方法。</w:t>
      </w:r>
    </w:p>
    <w:p w14:paraId="62E967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2、指导需方操作人员进行模拟操作及对不同故障的处理。</w:t>
      </w:r>
    </w:p>
    <w:p w14:paraId="740BD9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3、培训计划：完善的培训计划，不少于3天的理论和实际操作培训，保证参训人员熟练操作，懂得日常维保及维修，熟悉各部件功能，能够发现故障，能够准确与厂家技术人员进行技术沟通的能力。</w:t>
      </w:r>
    </w:p>
    <w:p w14:paraId="2588390E">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三、</w:t>
      </w:r>
      <w:r>
        <w:rPr>
          <w:rFonts w:hint="default" w:ascii="Times New Roman" w:hAnsi="Times New Roman" w:eastAsia="宋体" w:cs="Times New Roman"/>
          <w:b/>
          <w:bCs/>
          <w:sz w:val="21"/>
          <w:szCs w:val="21"/>
          <w:lang w:val="en-US" w:eastAsia="zh-CN"/>
        </w:rPr>
        <w:t>质保期及售后服务</w:t>
      </w:r>
    </w:p>
    <w:p w14:paraId="50052C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1.设备（易损件除外）质保期不少于2年；若厂家公开承诺质保期更长的，质保期从其承诺；质保期自设备验收合格之日起计。</w:t>
      </w:r>
    </w:p>
    <w:p w14:paraId="522A09E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2.在质保期内，接到买方信息后，2个小时内应做出明确回复，48小时内到达现场，产生一切费用由卖方承担，72小时内处理完毕。</w:t>
      </w:r>
    </w:p>
    <w:p w14:paraId="2CFB064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3.质保期内的维修工时及材料费用、维修人员的差旅费、宿费等由卖方承担。</w:t>
      </w:r>
    </w:p>
    <w:p w14:paraId="255928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4.在质保期内，如设备或零部件因非人力因素出现故障而造成短期停用，则质保期和免费维修期相应顺延。</w:t>
      </w:r>
    </w:p>
    <w:p w14:paraId="4A2869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5.质保期内，卖方在每个季度免费进行全面维保工作。</w:t>
      </w:r>
    </w:p>
    <w:p w14:paraId="014613B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6.质保期外出现故障时，卖方应按质保期内时效规定提供维修服务，以优惠价格收取材料费及人工费。</w:t>
      </w:r>
    </w:p>
    <w:p w14:paraId="519708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售后服务：完善售后服务计划，每年不少于一次质量回访，提供维护保养报告，给予终身技术指导。质保期结束后，乙方应继续为用户提供完善且优惠的售后服务。底盘过质保期后，乙方负责售后联系。乙方应每年提供一次全车免费检测，并提供检测报告及维保建议。质保期外能提供车辆终身维修所需的配件，并在接到甲方通知后2小时内响应，24小时内将配件寄出。</w:t>
      </w:r>
      <w:bookmarkStart w:id="171" w:name="_GoBack"/>
      <w:bookmarkEnd w:id="171"/>
    </w:p>
    <w:p w14:paraId="1DAC9CA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四、</w:t>
      </w:r>
      <w:r>
        <w:rPr>
          <w:rFonts w:hint="default" w:ascii="Times New Roman" w:hAnsi="Times New Roman" w:eastAsia="宋体" w:cs="Times New Roman"/>
          <w:b/>
          <w:bCs/>
          <w:sz w:val="21"/>
          <w:szCs w:val="21"/>
          <w:lang w:val="en-US" w:eastAsia="zh-CN"/>
        </w:rPr>
        <w:t>其他要求</w:t>
      </w:r>
    </w:p>
    <w:p w14:paraId="507E97B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1.车辆配全套保养、维修专用工具，该项费用综合计入总报价中。</w:t>
      </w:r>
    </w:p>
    <w:p w14:paraId="0F72AC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2.提供底盘、工作装置的详细技术参数、结构原理的说明。</w:t>
      </w:r>
    </w:p>
    <w:p w14:paraId="3B4BF5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p>
    <w:p w14:paraId="2CDC5BAF">
      <w:pPr>
        <w:pStyle w:val="23"/>
        <w:keepNext w:val="0"/>
        <w:keepLines w:val="0"/>
        <w:pageBreakBefore w:val="0"/>
        <w:widowControl w:val="0"/>
        <w:kinsoku/>
        <w:wordWrap/>
        <w:overflowPunct/>
        <w:topLinePunct w:val="0"/>
        <w:bidi w:val="0"/>
        <w:adjustRightInd/>
        <w:spacing w:line="560" w:lineRule="exact"/>
        <w:jc w:val="both"/>
        <w:textAlignment w:val="auto"/>
        <w:rPr>
          <w:rFonts w:hint="eastAsia" w:ascii="宋体" w:hAnsi="宋体" w:eastAsia="宋体" w:cs="宋体"/>
          <w:color w:val="auto"/>
          <w:kern w:val="0"/>
          <w:sz w:val="28"/>
          <w:szCs w:val="28"/>
          <w:highlight w:val="none"/>
          <w:lang w:val="en-US" w:eastAsia="zh-CN" w:bidi="ar-SA"/>
        </w:rPr>
      </w:pPr>
    </w:p>
    <w:p w14:paraId="67D8E606">
      <w:pPr>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bookmarkEnd w:id="79"/>
    <w:p w14:paraId="0F478882">
      <w:pPr>
        <w:numPr>
          <w:ilvl w:val="0"/>
          <w:numId w:val="4"/>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1" w:name="_Toc1914_WPSOffice_Level1"/>
      <w:bookmarkStart w:id="82" w:name="_Toc17394_WPSOffice_Level1"/>
      <w:bookmarkStart w:id="83" w:name="_Toc27552_WPSOffice_Level1"/>
      <w:bookmarkStart w:id="84" w:name="_Toc5145_WPSOffice_Level1"/>
      <w:r>
        <w:rPr>
          <w:rFonts w:hint="default" w:ascii="Times New Roman" w:hAnsi="Times New Roman" w:eastAsia="黑体" w:cs="Times New Roman"/>
          <w:sz w:val="50"/>
          <w:szCs w:val="50"/>
        </w:rPr>
        <w:t>响应文件</w:t>
      </w:r>
      <w:bookmarkEnd w:id="81"/>
      <w:bookmarkEnd w:id="82"/>
      <w:bookmarkEnd w:id="83"/>
      <w:bookmarkEnd w:id="84"/>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85" w:name="_Toc5520_WPSOffice_Level2"/>
      <w:bookmarkStart w:id="86" w:name="_Toc25232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85"/>
      <w:bookmarkEnd w:id="86"/>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87" w:name="_Toc20076_WPSOffice_Level2"/>
      <w:bookmarkStart w:id="88" w:name="_Toc31577_WPSOffice_Level2"/>
      <w:r>
        <w:rPr>
          <w:rFonts w:hint="default" w:ascii="Times New Roman" w:hAnsi="Times New Roman" w:eastAsia="黑体" w:cs="Times New Roman"/>
          <w:sz w:val="28"/>
          <w:szCs w:val="28"/>
        </w:rPr>
        <w:t>年 月 日</w:t>
      </w:r>
      <w:bookmarkEnd w:id="87"/>
      <w:bookmarkEnd w:id="88"/>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89" w:name="_Toc22351_WPSOffice_Level2"/>
      <w:bookmarkStart w:id="90" w:name="_Toc21974_WPSOffice_Level2"/>
      <w:r>
        <w:rPr>
          <w:rFonts w:hint="default" w:ascii="Times New Roman" w:hAnsi="Times New Roman" w:eastAsia="黑体" w:cs="Times New Roman"/>
          <w:sz w:val="28"/>
          <w:szCs w:val="28"/>
        </w:rPr>
        <w:t>目录</w:t>
      </w:r>
      <w:bookmarkEnd w:id="89"/>
      <w:bookmarkEnd w:id="90"/>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1" w:name="_Toc23368_WPSOffice_Level1"/>
      <w:bookmarkStart w:id="92" w:name="_Toc30529_WPSOffice_Level1"/>
      <w:bookmarkStart w:id="93" w:name="_Toc6353_WPSOffice_Level1"/>
      <w:bookmarkStart w:id="94" w:name="_Toc11424_WPSOffice_Level1"/>
      <w:bookmarkStart w:id="95" w:name="_Toc12670_WPSOffice_Level1"/>
      <w:r>
        <w:rPr>
          <w:rFonts w:hint="default" w:ascii="Times New Roman" w:hAnsi="Times New Roman" w:eastAsia="黑体" w:cs="Times New Roman"/>
          <w:sz w:val="24"/>
        </w:rPr>
        <w:t>一、报价函</w:t>
      </w:r>
      <w:bookmarkEnd w:id="91"/>
      <w:bookmarkEnd w:id="92"/>
      <w:bookmarkEnd w:id="93"/>
      <w:bookmarkEnd w:id="94"/>
    </w:p>
    <w:p w14:paraId="60AED60F">
      <w:pPr>
        <w:spacing w:line="440" w:lineRule="exact"/>
        <w:ind w:left="1619" w:leftChars="771"/>
        <w:rPr>
          <w:rFonts w:hint="default" w:ascii="Times New Roman" w:hAnsi="Times New Roman" w:eastAsia="黑体" w:cs="Times New Roman"/>
          <w:sz w:val="24"/>
        </w:rPr>
      </w:pPr>
      <w:bookmarkStart w:id="96" w:name="_Toc32729_WPSOffice_Level1"/>
      <w:bookmarkStart w:id="97" w:name="_Toc5317_WPSOffice_Level1"/>
      <w:bookmarkStart w:id="98" w:name="_Toc31927_WPSOffice_Level1"/>
      <w:bookmarkStart w:id="99" w:name="_Toc21229_WPSOffice_Level1"/>
      <w:r>
        <w:rPr>
          <w:rFonts w:hint="default" w:ascii="Times New Roman" w:hAnsi="Times New Roman" w:eastAsia="黑体" w:cs="Times New Roman"/>
          <w:sz w:val="24"/>
        </w:rPr>
        <w:t>二、法定代表人身份证明及授权委托书</w:t>
      </w:r>
      <w:bookmarkEnd w:id="96"/>
      <w:bookmarkEnd w:id="97"/>
      <w:bookmarkEnd w:id="98"/>
      <w:bookmarkEnd w:id="99"/>
    </w:p>
    <w:p w14:paraId="11A59D0A">
      <w:pPr>
        <w:spacing w:line="440" w:lineRule="exact"/>
        <w:ind w:left="1619" w:leftChars="771"/>
        <w:rPr>
          <w:rFonts w:hint="default" w:ascii="Times New Roman" w:hAnsi="Times New Roman" w:eastAsia="黑体" w:cs="Times New Roman"/>
          <w:sz w:val="24"/>
        </w:rPr>
      </w:pPr>
      <w:bookmarkStart w:id="100" w:name="_Toc25965_WPSOffice_Level1"/>
      <w:bookmarkStart w:id="101" w:name="_Toc4728_WPSOffice_Level1"/>
      <w:bookmarkStart w:id="102" w:name="_Toc23356_WPSOffice_Level1"/>
      <w:bookmarkStart w:id="103" w:name="_Toc29085_WPSOffice_Level1"/>
      <w:r>
        <w:rPr>
          <w:rFonts w:hint="default" w:ascii="Times New Roman" w:hAnsi="Times New Roman" w:eastAsia="黑体" w:cs="Times New Roman"/>
          <w:sz w:val="24"/>
        </w:rPr>
        <w:t>三、已标价的</w:t>
      </w:r>
      <w:bookmarkEnd w:id="100"/>
      <w:bookmarkEnd w:id="101"/>
      <w:bookmarkEnd w:id="102"/>
      <w:bookmarkEnd w:id="103"/>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04" w:name="_Toc7453_WPSOffice_Level1"/>
      <w:bookmarkStart w:id="105" w:name="_Toc18964_WPSOffice_Level1"/>
      <w:bookmarkStart w:id="106" w:name="_Toc23744_WPSOffice_Level1"/>
      <w:bookmarkStart w:id="107" w:name="_Toc10608_WPSOffice_Level1"/>
      <w:r>
        <w:rPr>
          <w:rFonts w:hint="default" w:ascii="Times New Roman" w:hAnsi="Times New Roman" w:eastAsia="黑体" w:cs="Times New Roman"/>
          <w:sz w:val="24"/>
        </w:rPr>
        <w:t>四、</w:t>
      </w:r>
      <w:bookmarkEnd w:id="104"/>
      <w:bookmarkEnd w:id="105"/>
      <w:bookmarkEnd w:id="106"/>
      <w:bookmarkEnd w:id="107"/>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08" w:name="_Toc19601_WPSOffice_Level1"/>
      <w:bookmarkStart w:id="109" w:name="_Toc1578_WPSOffice_Level1"/>
      <w:bookmarkStart w:id="110" w:name="_Toc23751_WPSOffice_Level1"/>
      <w:bookmarkStart w:id="111" w:name="_Toc9006_WPSOffice_Level1"/>
      <w:r>
        <w:rPr>
          <w:rFonts w:hint="default" w:ascii="Times New Roman" w:hAnsi="Times New Roman" w:eastAsia="黑体" w:cs="Times New Roman"/>
          <w:sz w:val="24"/>
        </w:rPr>
        <w:t>五、</w:t>
      </w:r>
      <w:bookmarkEnd w:id="108"/>
      <w:bookmarkEnd w:id="109"/>
      <w:bookmarkEnd w:id="110"/>
      <w:bookmarkEnd w:id="111"/>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2" w:name="_Toc24082_WPSOffice_Level1"/>
      <w:bookmarkStart w:id="113" w:name="_Toc31314_WPSOffice_Level1"/>
      <w:bookmarkStart w:id="114" w:name="_Toc24262_WPSOffice_Level1"/>
      <w:bookmarkStart w:id="115" w:name="_Toc12459_WPSOffice_Level1"/>
      <w:r>
        <w:rPr>
          <w:rFonts w:hint="default" w:ascii="Times New Roman" w:hAnsi="Times New Roman" w:eastAsia="黑体" w:cs="Times New Roman"/>
          <w:sz w:val="24"/>
        </w:rPr>
        <w:t>六、</w:t>
      </w:r>
      <w:bookmarkEnd w:id="112"/>
      <w:bookmarkEnd w:id="113"/>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16" w:name="_Toc20930_WPSOffice_Level1"/>
      <w:bookmarkStart w:id="117" w:name="_Toc32220_WPSOffice_Level1"/>
      <w:r>
        <w:rPr>
          <w:rFonts w:hint="default" w:ascii="Times New Roman" w:hAnsi="Times New Roman" w:eastAsia="黑体" w:cs="Times New Roman"/>
          <w:sz w:val="24"/>
        </w:rPr>
        <w:t>七</w:t>
      </w:r>
      <w:bookmarkEnd w:id="114"/>
      <w:bookmarkEnd w:id="115"/>
      <w:bookmarkEnd w:id="116"/>
      <w:bookmarkEnd w:id="117"/>
      <w:bookmarkStart w:id="118" w:name="_Toc30273_WPSOffice_Level1"/>
      <w:bookmarkStart w:id="119" w:name="_Toc27403_WPSOffice_Level1"/>
      <w:bookmarkStart w:id="120" w:name="_Toc25804_WPSOffice_Level1"/>
      <w:bookmarkStart w:id="121" w:name="_Toc32648_WPSOffice_Level1"/>
      <w:r>
        <w:rPr>
          <w:rFonts w:hint="default" w:ascii="Times New Roman" w:hAnsi="Times New Roman" w:eastAsia="黑体" w:cs="Times New Roman"/>
          <w:sz w:val="24"/>
        </w:rPr>
        <w:t>、</w:t>
      </w:r>
      <w:bookmarkEnd w:id="118"/>
      <w:bookmarkEnd w:id="119"/>
      <w:bookmarkEnd w:id="120"/>
      <w:bookmarkEnd w:id="121"/>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2" w:name="_Toc30234_WPSOffice_Level1"/>
      <w:bookmarkStart w:id="123" w:name="_Toc23147_WPSOffice_Level1"/>
      <w:bookmarkStart w:id="124" w:name="_Toc32152_WPSOffice_Level1"/>
      <w:bookmarkStart w:id="125" w:name="_Toc4051_WPSOffice_Level1"/>
      <w:r>
        <w:rPr>
          <w:rFonts w:hint="default" w:ascii="Times New Roman" w:hAnsi="Times New Roman" w:eastAsia="黑体" w:cs="Times New Roman"/>
          <w:sz w:val="24"/>
        </w:rPr>
        <w:t>八、</w:t>
      </w:r>
      <w:bookmarkEnd w:id="122"/>
      <w:bookmarkEnd w:id="123"/>
      <w:bookmarkEnd w:id="124"/>
      <w:bookmarkEnd w:id="125"/>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26" w:name="_Toc5885_WPSOffice_Level1"/>
      <w:bookmarkStart w:id="127" w:name="_Toc16988_WPSOffice_Level1"/>
      <w:r>
        <w:rPr>
          <w:rFonts w:hint="default" w:ascii="Times New Roman" w:hAnsi="Times New Roman" w:eastAsia="黑体" w:cs="Times New Roman"/>
          <w:sz w:val="24"/>
        </w:rPr>
        <w:t>九、其他材料</w:t>
      </w:r>
      <w:bookmarkEnd w:id="95"/>
      <w:bookmarkEnd w:id="126"/>
      <w:bookmarkEnd w:id="127"/>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28" w:name="_Toc29399_WPSOffice_Level1"/>
      <w:bookmarkStart w:id="129" w:name="_Toc30031_WPSOffice_Level1"/>
      <w:bookmarkStart w:id="130" w:name="_Toc2765_WPSOffice_Level1"/>
      <w:bookmarkStart w:id="131" w:name="_Toc1687_WPSOffice_Level1"/>
      <w:bookmarkStart w:id="132" w:name="_Toc18312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28"/>
      <w:bookmarkEnd w:id="129"/>
      <w:bookmarkEnd w:id="130"/>
      <w:bookmarkEnd w:id="131"/>
      <w:bookmarkEnd w:id="132"/>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4"/>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4"/>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3" w:name="_Toc14563_WPSOffice_Level1"/>
      <w:bookmarkStart w:id="134" w:name="_Toc32350_WPSOffice_Level1"/>
      <w:bookmarkStart w:id="135" w:name="_Toc12530_WPSOffice_Level1"/>
      <w:bookmarkStart w:id="136" w:name="_Toc18668_WPSOffice_Level1"/>
      <w:bookmarkStart w:id="137" w:name="_Toc8695_WPSOffice_Level1"/>
      <w:r>
        <w:rPr>
          <w:rFonts w:hint="default" w:ascii="Times New Roman" w:hAnsi="Times New Roman" w:eastAsia="黑体" w:cs="Times New Roman"/>
          <w:sz w:val="28"/>
          <w:szCs w:val="28"/>
        </w:rPr>
        <w:t>二、法定代表人身份证明及授权委托书</w:t>
      </w:r>
      <w:bookmarkEnd w:id="133"/>
      <w:bookmarkEnd w:id="134"/>
      <w:bookmarkEnd w:id="135"/>
      <w:bookmarkEnd w:id="136"/>
      <w:bookmarkEnd w:id="137"/>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38" w:name="_Toc5153_WPSOffice_Level2"/>
      <w:bookmarkStart w:id="139" w:name="_Toc20803_WPSOffice_Level2"/>
      <w:r>
        <w:rPr>
          <w:rFonts w:hint="default" w:ascii="Times New Roman" w:hAnsi="Times New Roman" w:eastAsia="黑体" w:cs="Times New Roman"/>
          <w:bCs/>
          <w:sz w:val="28"/>
          <w:szCs w:val="28"/>
        </w:rPr>
        <w:t>2-1 法定代表人身份证明</w:t>
      </w:r>
      <w:bookmarkEnd w:id="138"/>
      <w:bookmarkEnd w:id="139"/>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0" w:name="_Toc19768_WPSOffice_Level2"/>
      <w:bookmarkStart w:id="141" w:name="_Toc12035_WPSOffice_Level2"/>
      <w:r>
        <w:rPr>
          <w:rFonts w:hint="default" w:ascii="Times New Roman" w:hAnsi="Times New Roman" w:eastAsia="黑体" w:cs="Times New Roman"/>
          <w:bCs/>
          <w:sz w:val="28"/>
          <w:szCs w:val="28"/>
        </w:rPr>
        <w:t>2-2 授权委托书</w:t>
      </w:r>
      <w:bookmarkEnd w:id="140"/>
      <w:bookmarkEnd w:id="141"/>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2" w:name="_Toc32085_WPSOffice_Level1"/>
      <w:bookmarkStart w:id="143" w:name="_Toc24567_WPSOffice_Level1"/>
      <w:bookmarkStart w:id="144" w:name="_Toc15186_WPSOffice_Level1"/>
      <w:bookmarkStart w:id="145" w:name="_Toc24530_WPSOffice_Level1"/>
      <w:bookmarkStart w:id="146" w:name="_Toc12942_WPSOffice_Level1"/>
      <w:r>
        <w:rPr>
          <w:rFonts w:hint="default" w:ascii="Times New Roman" w:hAnsi="Times New Roman" w:eastAsia="黑体" w:cs="Times New Roman"/>
          <w:sz w:val="28"/>
          <w:szCs w:val="28"/>
        </w:rPr>
        <w:t>三、已标价的</w:t>
      </w:r>
      <w:bookmarkEnd w:id="142"/>
      <w:bookmarkEnd w:id="143"/>
      <w:bookmarkEnd w:id="144"/>
      <w:bookmarkEnd w:id="145"/>
      <w:r>
        <w:rPr>
          <w:rFonts w:hint="default" w:ascii="Times New Roman" w:hAnsi="Times New Roman" w:eastAsia="黑体" w:cs="Times New Roman"/>
          <w:sz w:val="28"/>
          <w:szCs w:val="28"/>
        </w:rPr>
        <w:t>报价清单</w:t>
      </w:r>
      <w:bookmarkEnd w:id="146"/>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47" w:name="_Toc6273"/>
            <w:bookmarkStart w:id="148" w:name="_Toc55466874"/>
            <w:bookmarkStart w:id="149" w:name="_Toc7024"/>
            <w:bookmarkStart w:id="150" w:name="_Toc29844"/>
            <w:bookmarkStart w:id="151" w:name="_Toc18409_WPSOffice_Level1"/>
            <w:bookmarkStart w:id="152" w:name="_Toc15712"/>
            <w:bookmarkStart w:id="153" w:name="_Toc31316"/>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47"/>
      <w:bookmarkEnd w:id="148"/>
      <w:bookmarkEnd w:id="149"/>
      <w:bookmarkEnd w:id="150"/>
      <w:bookmarkEnd w:id="151"/>
      <w:bookmarkEnd w:id="152"/>
      <w:bookmarkEnd w:id="153"/>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54" w:name="_Toc7738_WPSOffice_Level1"/>
      <w:bookmarkStart w:id="155" w:name="_Toc23545_WPSOffice_Level1"/>
      <w:bookmarkStart w:id="156" w:name="_Toc31445_WPSOffice_Level1"/>
      <w:bookmarkStart w:id="157" w:name="_Toc10436_WPSOffice_Level1"/>
      <w:bookmarkStart w:id="158" w:name="_Toc22815_WPSOffice_Level1"/>
    </w:p>
    <w:p w14:paraId="70416B21">
      <w:pPr>
        <w:rPr>
          <w:rFonts w:hint="default" w:ascii="Times New Roman" w:hAnsi="Times New Roman" w:eastAsia="黑体" w:cs="Times New Roman"/>
          <w:sz w:val="28"/>
          <w:szCs w:val="28"/>
        </w:rPr>
      </w:pPr>
    </w:p>
    <w:p w14:paraId="7CD90704">
      <w:pPr>
        <w:pStyle w:val="4"/>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59" w:name="_Toc27600_WPSOffice_Level2"/>
      <w:bookmarkStart w:id="160" w:name="_Toc2807_WPSOffice_Level2"/>
      <w:r>
        <w:rPr>
          <w:rFonts w:hint="default" w:ascii="Times New Roman" w:hAnsi="Times New Roman" w:eastAsia="黑体" w:cs="Times New Roman"/>
          <w:sz w:val="28"/>
          <w:szCs w:val="28"/>
        </w:rPr>
        <w:t>供应商基本情况</w:t>
      </w:r>
      <w:bookmarkEnd w:id="154"/>
      <w:bookmarkEnd w:id="155"/>
      <w:bookmarkEnd w:id="156"/>
      <w:bookmarkEnd w:id="157"/>
      <w:bookmarkEnd w:id="158"/>
      <w:bookmarkEnd w:id="159"/>
      <w:bookmarkEnd w:id="160"/>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6"/>
        <w:spacing w:line="240" w:lineRule="atLeast"/>
        <w:ind w:left="560" w:leftChars="0" w:right="-512" w:rightChars="-244" w:hanging="560" w:hangingChars="200"/>
        <w:jc w:val="center"/>
        <w:rPr>
          <w:rFonts w:hint="default" w:ascii="Times New Roman" w:hAnsi="Times New Roman" w:cs="Times New Roman"/>
          <w:sz w:val="28"/>
          <w:szCs w:val="28"/>
        </w:rPr>
      </w:pPr>
      <w:bookmarkStart w:id="161" w:name="_Toc1452_WPSOffice_Level1"/>
      <w:bookmarkStart w:id="162" w:name="_Toc3772_WPSOffice_Level1"/>
      <w:bookmarkStart w:id="163" w:name="_Toc5072_WPSOffice_Level1"/>
      <w:bookmarkStart w:id="164" w:name="_Toc19004_WPSOffice_Level1"/>
      <w:bookmarkStart w:id="165" w:name="_Toc18547_WPSOffice_Level1"/>
      <w:r>
        <w:rPr>
          <w:rFonts w:hint="default" w:ascii="Times New Roman" w:hAnsi="Times New Roman" w:eastAsia="黑体" w:cs="Times New Roman"/>
          <w:sz w:val="28"/>
          <w:szCs w:val="28"/>
        </w:rPr>
        <w:t>五、近年类似业绩情况</w:t>
      </w:r>
      <w:bookmarkEnd w:id="161"/>
      <w:bookmarkEnd w:id="162"/>
      <w:bookmarkEnd w:id="163"/>
      <w:bookmarkEnd w:id="164"/>
      <w:bookmarkEnd w:id="165"/>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2"/>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66" w:name="_Toc5403_WPSOffice_Level1"/>
      <w:bookmarkStart w:id="167" w:name="_Toc9267_WPSOffice_Level1"/>
      <w:bookmarkStart w:id="168" w:name="_Toc30712_WPSOffice_Level1"/>
      <w:bookmarkStart w:id="169" w:name="_Toc3893_WPSOffice_Level1"/>
      <w:bookmarkStart w:id="170" w:name="_Toc12019_WPSOffice_Level1"/>
      <w:r>
        <w:rPr>
          <w:rFonts w:hint="default" w:ascii="Times New Roman" w:hAnsi="Times New Roman" w:eastAsia="黑体" w:cs="Times New Roman"/>
          <w:sz w:val="28"/>
          <w:szCs w:val="28"/>
        </w:rPr>
        <w:t>六、信誉情况</w:t>
      </w:r>
      <w:bookmarkEnd w:id="166"/>
      <w:bookmarkEnd w:id="167"/>
      <w:bookmarkEnd w:id="168"/>
      <w:bookmarkEnd w:id="169"/>
      <w:bookmarkEnd w:id="170"/>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2"/>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2"/>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2"/>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2"/>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2"/>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2"/>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2"/>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2"/>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2"/>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2"/>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2"/>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2"/>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2"/>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2"/>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2"/>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2"/>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1"/>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2"/>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239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3"/>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2E95D47B"/>
    <w:multiLevelType w:val="singleLevel"/>
    <w:tmpl w:val="2E95D47B"/>
    <w:lvl w:ilvl="0" w:tentative="0">
      <w:start w:val="1"/>
      <w:numFmt w:val="decimal"/>
      <w:pStyle w:val="4"/>
      <w:suff w:val="nothing"/>
      <w:lvlText w:val="%1．"/>
      <w:lvlJc w:val="left"/>
      <w:pPr>
        <w:ind w:left="17" w:firstLine="400"/>
      </w:pPr>
      <w:rPr>
        <w:rFonts w:hint="default"/>
      </w:rPr>
    </w:lvl>
  </w:abstractNum>
  <w:abstractNum w:abstractNumId="3">
    <w:nsid w:val="59988EA0"/>
    <w:multiLevelType w:val="singleLevel"/>
    <w:tmpl w:val="59988EA0"/>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9B3C00"/>
    <w:rsid w:val="06CA1760"/>
    <w:rsid w:val="06ED25DE"/>
    <w:rsid w:val="06F57E5E"/>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36E86"/>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38B1"/>
    <w:rsid w:val="1DCA0187"/>
    <w:rsid w:val="1DEE3EE6"/>
    <w:rsid w:val="1DEF15E5"/>
    <w:rsid w:val="1DFB3480"/>
    <w:rsid w:val="1E076BA3"/>
    <w:rsid w:val="1E085723"/>
    <w:rsid w:val="1E2E506B"/>
    <w:rsid w:val="1E373F50"/>
    <w:rsid w:val="1E3B3E71"/>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433736"/>
    <w:rsid w:val="205B3A40"/>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63BA8"/>
    <w:rsid w:val="264B61DF"/>
    <w:rsid w:val="264F0DC8"/>
    <w:rsid w:val="26505959"/>
    <w:rsid w:val="26757836"/>
    <w:rsid w:val="267942C6"/>
    <w:rsid w:val="268169ED"/>
    <w:rsid w:val="26936A6A"/>
    <w:rsid w:val="26AC54AE"/>
    <w:rsid w:val="26AE35E3"/>
    <w:rsid w:val="26CA2142"/>
    <w:rsid w:val="26CC5821"/>
    <w:rsid w:val="26D9686E"/>
    <w:rsid w:val="26E16978"/>
    <w:rsid w:val="26EA132C"/>
    <w:rsid w:val="270A6B81"/>
    <w:rsid w:val="271A1986"/>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5AD5"/>
    <w:rsid w:val="28A05BCA"/>
    <w:rsid w:val="28A17421"/>
    <w:rsid w:val="28CB2405"/>
    <w:rsid w:val="28CC65CA"/>
    <w:rsid w:val="28E31299"/>
    <w:rsid w:val="28E4564A"/>
    <w:rsid w:val="28FD4C25"/>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436A23"/>
    <w:rsid w:val="2C67476C"/>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821BE2"/>
    <w:rsid w:val="2E980D78"/>
    <w:rsid w:val="2E9F5461"/>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F7FD5"/>
    <w:rsid w:val="35C87EEC"/>
    <w:rsid w:val="35EA1EB9"/>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A75FB"/>
    <w:rsid w:val="379940D4"/>
    <w:rsid w:val="379B22F5"/>
    <w:rsid w:val="379C24D3"/>
    <w:rsid w:val="37E57834"/>
    <w:rsid w:val="38120363"/>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CB3DB0"/>
    <w:rsid w:val="39FE2850"/>
    <w:rsid w:val="3A085BAA"/>
    <w:rsid w:val="3A185D33"/>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E165AE"/>
    <w:rsid w:val="40FA31CC"/>
    <w:rsid w:val="40FD44FE"/>
    <w:rsid w:val="410A5564"/>
    <w:rsid w:val="410D54FF"/>
    <w:rsid w:val="411D3F96"/>
    <w:rsid w:val="412233A4"/>
    <w:rsid w:val="413E1BC3"/>
    <w:rsid w:val="41477A67"/>
    <w:rsid w:val="414810A7"/>
    <w:rsid w:val="41581702"/>
    <w:rsid w:val="41614FF9"/>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8EF2337"/>
    <w:rsid w:val="49025314"/>
    <w:rsid w:val="49130208"/>
    <w:rsid w:val="49392584"/>
    <w:rsid w:val="493B6AAC"/>
    <w:rsid w:val="49700CFC"/>
    <w:rsid w:val="497C39F6"/>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5E2842"/>
    <w:rsid w:val="51694722"/>
    <w:rsid w:val="5190720E"/>
    <w:rsid w:val="51AF30BD"/>
    <w:rsid w:val="51BF09E2"/>
    <w:rsid w:val="51C20F3A"/>
    <w:rsid w:val="51C621E0"/>
    <w:rsid w:val="51D05EF0"/>
    <w:rsid w:val="51E63EA3"/>
    <w:rsid w:val="51F14A65"/>
    <w:rsid w:val="51F6040A"/>
    <w:rsid w:val="52063118"/>
    <w:rsid w:val="527B18BB"/>
    <w:rsid w:val="528B6C58"/>
    <w:rsid w:val="52A9097C"/>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843081"/>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9D1DBB"/>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8B2FDB"/>
    <w:rsid w:val="5D980AE0"/>
    <w:rsid w:val="5D9C768D"/>
    <w:rsid w:val="5DAF27B3"/>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50C23"/>
    <w:rsid w:val="60CC64DC"/>
    <w:rsid w:val="60EA7638"/>
    <w:rsid w:val="60F872D1"/>
    <w:rsid w:val="6107582C"/>
    <w:rsid w:val="61237C21"/>
    <w:rsid w:val="612F392E"/>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C462B9"/>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10708CC"/>
    <w:rsid w:val="710D33C2"/>
    <w:rsid w:val="710E6DC5"/>
    <w:rsid w:val="71201E7A"/>
    <w:rsid w:val="713906D7"/>
    <w:rsid w:val="713944E1"/>
    <w:rsid w:val="71910B15"/>
    <w:rsid w:val="71A74D64"/>
    <w:rsid w:val="71B11E98"/>
    <w:rsid w:val="71B625C8"/>
    <w:rsid w:val="71D04CEB"/>
    <w:rsid w:val="71D4011E"/>
    <w:rsid w:val="71EE678E"/>
    <w:rsid w:val="71EF21D9"/>
    <w:rsid w:val="71F83650"/>
    <w:rsid w:val="720E20E5"/>
    <w:rsid w:val="721D22C8"/>
    <w:rsid w:val="72761ACE"/>
    <w:rsid w:val="728C7879"/>
    <w:rsid w:val="729C5D0C"/>
    <w:rsid w:val="72A80664"/>
    <w:rsid w:val="72B33B48"/>
    <w:rsid w:val="72BF19FC"/>
    <w:rsid w:val="72CC236B"/>
    <w:rsid w:val="72D17CEA"/>
    <w:rsid w:val="730205CB"/>
    <w:rsid w:val="73047594"/>
    <w:rsid w:val="730C7017"/>
    <w:rsid w:val="732032AC"/>
    <w:rsid w:val="73253CEE"/>
    <w:rsid w:val="73282EAD"/>
    <w:rsid w:val="736B0D9C"/>
    <w:rsid w:val="73715675"/>
    <w:rsid w:val="73B65107"/>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D600D5"/>
    <w:rsid w:val="76DB492B"/>
    <w:rsid w:val="77275DC2"/>
    <w:rsid w:val="772D2EED"/>
    <w:rsid w:val="77364257"/>
    <w:rsid w:val="774D70B5"/>
    <w:rsid w:val="77711DFB"/>
    <w:rsid w:val="77791211"/>
    <w:rsid w:val="778B06B0"/>
    <w:rsid w:val="77A870F8"/>
    <w:rsid w:val="77C853D2"/>
    <w:rsid w:val="77CB6284"/>
    <w:rsid w:val="77D54C59"/>
    <w:rsid w:val="77D9063B"/>
    <w:rsid w:val="78474B5C"/>
    <w:rsid w:val="786A240A"/>
    <w:rsid w:val="78A82F32"/>
    <w:rsid w:val="78FC7191"/>
    <w:rsid w:val="79072005"/>
    <w:rsid w:val="79077C59"/>
    <w:rsid w:val="790F66E7"/>
    <w:rsid w:val="791E54E8"/>
    <w:rsid w:val="796558AF"/>
    <w:rsid w:val="79714322"/>
    <w:rsid w:val="79925588"/>
    <w:rsid w:val="79B90752"/>
    <w:rsid w:val="79E84AA0"/>
    <w:rsid w:val="79EE0E19"/>
    <w:rsid w:val="79F253C4"/>
    <w:rsid w:val="79F34BAE"/>
    <w:rsid w:val="7A0D2E4B"/>
    <w:rsid w:val="7A263D9D"/>
    <w:rsid w:val="7A2D254D"/>
    <w:rsid w:val="7A377F78"/>
    <w:rsid w:val="7A3C22D1"/>
    <w:rsid w:val="7A4B1DC7"/>
    <w:rsid w:val="7A6E4C98"/>
    <w:rsid w:val="7A8C352B"/>
    <w:rsid w:val="7A9279F6"/>
    <w:rsid w:val="7AC22E37"/>
    <w:rsid w:val="7AD803EA"/>
    <w:rsid w:val="7AF97A75"/>
    <w:rsid w:val="7B0574E9"/>
    <w:rsid w:val="7B091377"/>
    <w:rsid w:val="7B367327"/>
    <w:rsid w:val="7B4B6F94"/>
    <w:rsid w:val="7B5E2AA7"/>
    <w:rsid w:val="7B71168E"/>
    <w:rsid w:val="7B7A4EE9"/>
    <w:rsid w:val="7B9F046E"/>
    <w:rsid w:val="7BA571A1"/>
    <w:rsid w:val="7BA84BDE"/>
    <w:rsid w:val="7BDA4C3E"/>
    <w:rsid w:val="7BE52B27"/>
    <w:rsid w:val="7BED0D99"/>
    <w:rsid w:val="7BF7759F"/>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4">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5">
    <w:name w:val="Normal Indent"/>
    <w:basedOn w:val="1"/>
    <w:autoRedefine/>
    <w:qFormat/>
    <w:uiPriority w:val="0"/>
    <w:pPr>
      <w:ind w:firstLine="420"/>
    </w:pPr>
    <w:rPr>
      <w:szCs w:val="20"/>
    </w:rPr>
  </w:style>
  <w:style w:type="paragraph" w:styleId="6">
    <w:name w:val="Body Text Indent"/>
    <w:basedOn w:val="1"/>
    <w:next w:val="7"/>
    <w:autoRedefine/>
    <w:qFormat/>
    <w:uiPriority w:val="0"/>
    <w:pPr>
      <w:spacing w:after="120"/>
      <w:ind w:left="420" w:leftChars="200"/>
    </w:pPr>
  </w:style>
  <w:style w:type="paragraph" w:styleId="7">
    <w:name w:val="envelope return"/>
    <w:basedOn w:val="1"/>
    <w:autoRedefine/>
    <w:unhideWhenUsed/>
    <w:qFormat/>
    <w:uiPriority w:val="99"/>
    <w:pPr>
      <w:snapToGrid w:val="0"/>
      <w:ind w:firstLine="200"/>
    </w:pPr>
    <w:rPr>
      <w:rFonts w:ascii="Arial" w:hAnsi="Arial" w:cs="Arial"/>
      <w:szCs w:val="20"/>
    </w:rPr>
  </w:style>
  <w:style w:type="paragraph" w:styleId="8">
    <w:name w:val="List 2"/>
    <w:basedOn w:val="1"/>
    <w:qFormat/>
    <w:uiPriority w:val="0"/>
    <w:pPr>
      <w:ind w:left="100" w:leftChars="200" w:hanging="200" w:hangingChars="200"/>
    </w:pPr>
  </w:style>
  <w:style w:type="paragraph" w:styleId="9">
    <w:name w:val="Balloon Text"/>
    <w:basedOn w:val="1"/>
    <w:link w:val="4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99"/>
    <w:pPr>
      <w:spacing w:beforeAutospacing="1" w:afterAutospacing="1"/>
      <w:jc w:val="left"/>
    </w:pPr>
    <w:rPr>
      <w:rFonts w:cs="Times New Roman"/>
      <w:kern w:val="0"/>
      <w:sz w:val="24"/>
    </w:rPr>
  </w:style>
  <w:style w:type="paragraph" w:styleId="13">
    <w:name w:val="Title"/>
    <w:basedOn w:val="1"/>
    <w:next w:val="1"/>
    <w:autoRedefine/>
    <w:qFormat/>
    <w:uiPriority w:val="0"/>
    <w:pPr>
      <w:jc w:val="center"/>
    </w:pPr>
    <w:rPr>
      <w:sz w:val="30"/>
      <w:szCs w:val="30"/>
    </w:rPr>
  </w:style>
  <w:style w:type="paragraph" w:styleId="14">
    <w:name w:val="Body Text First Indent 2"/>
    <w:basedOn w:val="6"/>
    <w:next w:val="2"/>
    <w:autoRedefine/>
    <w:unhideWhenUsed/>
    <w:qFormat/>
    <w:uiPriority w:val="99"/>
    <w:pPr>
      <w:ind w:firstLine="420" w:firstLineChars="200"/>
    </w:pPr>
    <w:rPr>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4"/>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1"/>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9"/>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1DF20453">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6BF5F4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6054</Words>
  <Characters>6563</Characters>
  <Lines>141</Lines>
  <Paragraphs>39</Paragraphs>
  <TotalTime>3</TotalTime>
  <ScaleCrop>false</ScaleCrop>
  <LinksUpToDate>false</LinksUpToDate>
  <CharactersWithSpaces>6808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王不留行</cp:lastModifiedBy>
  <dcterms:modified xsi:type="dcterms:W3CDTF">2026-09-10T02:16:02Z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7BC0B21F30F9474D94F9289B686E85E3_13</vt:lpwstr>
  </property>
  <property fmtid="{D5CDD505-2E9C-101B-9397-08002B2CF9AE}" pid="4" name="KSOTemplateDocerSaveRecord">
    <vt:lpwstr>eyJoZGlkIjoiNmRkMDM2N2M1MmE4MTlhMmQzMmFhZjU2ODc4Zjc3ZGUiLCJ1c2VySWQiOiI5NjA1OTI2NjYifQ==</vt:lpwstr>
  </property>
</Properties>
</file>