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eastAsia"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9.10养护机械设备</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r>
        <w:rPr>
          <w:rFonts w:hint="eastAsia" w:ascii="Times New Roman" w:hAnsi="Times New Roman" w:eastAsia="宋体" w:cs="Times New Roman"/>
          <w:b/>
          <w:bCs/>
          <w:sz w:val="44"/>
          <w:szCs w:val="44"/>
          <w:highlight w:val="none"/>
          <w:lang w:eastAsia="zh-CN"/>
        </w:rPr>
        <w:t>（二次）</w:t>
      </w:r>
    </w:p>
    <w:p w14:paraId="25026D1C">
      <w:pPr>
        <w:widowControl/>
        <w:jc w:val="center"/>
        <w:rPr>
          <w:rFonts w:hint="default" w:ascii="Times New Roman" w:hAnsi="Times New Roman" w:eastAsia="宋体" w:cs="Times New Roman"/>
          <w:b/>
          <w:bCs/>
          <w:sz w:val="44"/>
          <w:szCs w:val="44"/>
        </w:rPr>
      </w:pPr>
    </w:p>
    <w:p w14:paraId="79612C86">
      <w:pPr>
        <w:pStyle w:val="5"/>
        <w:rPr>
          <w:rFonts w:hint="default" w:ascii="Times New Roman" w:hAnsi="Times New Roman" w:cs="Times New Roman"/>
          <w:szCs w:val="21"/>
        </w:rPr>
      </w:pPr>
    </w:p>
    <w:p w14:paraId="55053262">
      <w:pPr>
        <w:pStyle w:val="5"/>
        <w:rPr>
          <w:rFonts w:hint="default" w:ascii="Times New Roman" w:hAnsi="Times New Roman" w:cs="Times New Roman"/>
          <w:szCs w:val="21"/>
        </w:rPr>
      </w:pPr>
    </w:p>
    <w:p w14:paraId="52D027E8">
      <w:pPr>
        <w:pStyle w:val="5"/>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9</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21</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5"/>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3"/>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3"/>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6496_WPSOffice_Level2"/>
      <w:bookmarkStart w:id="3" w:name="_Toc13871"/>
      <w:bookmarkStart w:id="4" w:name="_Toc4489_WPSOffice_Level2"/>
      <w:bookmarkStart w:id="5" w:name="_Toc24354_WPSOffice_Level2"/>
      <w:bookmarkStart w:id="6" w:name="_Toc525632585"/>
      <w:bookmarkStart w:id="7" w:name="_Toc12765"/>
      <w:bookmarkStart w:id="8" w:name="_Toc10395_WPSOffice_Level2"/>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lang w:eastAsia="zh-CN"/>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9.10养护机械设备</w:t>
      </w:r>
      <w:r>
        <w:rPr>
          <w:rFonts w:hint="default" w:ascii="Times New Roman" w:hAnsi="Times New Roman" w:cs="Times New Roman"/>
          <w:szCs w:val="22"/>
          <w:u w:val="single"/>
        </w:rPr>
        <w:t>采购项目</w:t>
      </w:r>
      <w:r>
        <w:rPr>
          <w:rFonts w:hint="eastAsia" w:ascii="Times New Roman" w:hAnsi="Times New Roman" w:cs="Times New Roman"/>
          <w:szCs w:val="22"/>
          <w:u w:val="single"/>
          <w:lang w:eastAsia="zh-CN"/>
        </w:rPr>
        <w:t>（二次）</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8128_WPSOffice_Level2"/>
      <w:bookmarkStart w:id="10" w:name="_Toc23266_WPSOffice_Level2"/>
      <w:bookmarkStart w:id="11" w:name="_Toc18367_WPSOffice_Level2"/>
      <w:bookmarkStart w:id="12" w:name="_Toc525632586"/>
      <w:bookmarkStart w:id="13" w:name="_Toc18453"/>
      <w:bookmarkStart w:id="14" w:name="_Toc17858_WPSOffice_Level2"/>
      <w:bookmarkStart w:id="15" w:name="_Toc10274"/>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 xml:space="preserve">防撞车1台 </w:t>
      </w:r>
    </w:p>
    <w:p w14:paraId="6B6C3C2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color w:val="auto"/>
          <w:szCs w:val="22"/>
          <w:highlight w:val="none"/>
        </w:rPr>
        <w:t>合同包划分：</w:t>
      </w:r>
      <w:r>
        <w:rPr>
          <w:rFonts w:hint="eastAsia" w:ascii="Times New Roman" w:hAnsi="Times New Roman" w:cs="Times New Roman"/>
          <w:color w:val="auto"/>
          <w:szCs w:val="22"/>
          <w:highlight w:val="none"/>
          <w:u w:val="single"/>
          <w:lang w:val="en-US" w:eastAsia="zh-CN"/>
        </w:rPr>
        <w:t>1</w:t>
      </w:r>
      <w:r>
        <w:rPr>
          <w:rFonts w:hint="default" w:ascii="Times New Roman" w:hAnsi="Times New Roman" w:cs="Times New Roman"/>
          <w:color w:val="auto"/>
          <w:szCs w:val="22"/>
          <w:highlight w:val="none"/>
          <w:u w:val="single"/>
          <w:lang w:val="en-US" w:eastAsia="zh-CN"/>
        </w:rPr>
        <w:t>个包</w:t>
      </w:r>
    </w:p>
    <w:p w14:paraId="6A6FD5C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szCs w:val="22"/>
          <w:highlight w:val="none"/>
          <w:u w:val="single"/>
          <w:lang w:val="en-US" w:eastAsia="zh-CN"/>
        </w:rPr>
        <w:t>33</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26D41C6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1622_WPSOffice_Level2"/>
      <w:bookmarkStart w:id="20" w:name="_Toc6388"/>
      <w:bookmarkStart w:id="21" w:name="_Toc29516_WPSOffice_Level2"/>
      <w:bookmarkStart w:id="22" w:name="_Toc525632587"/>
      <w:bookmarkStart w:id="23" w:name="_Toc22379_WPSOffice_Level2"/>
      <w:bookmarkStart w:id="24" w:name="_Toc3714"/>
      <w:bookmarkStart w:id="25" w:name="_Toc31673_WPSOffice_Level2"/>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（车辆和设备按照相应要求分别提供材料）。</w:t>
      </w:r>
    </w:p>
    <w:p w14:paraId="68E3205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408407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r>
        <w:rPr>
          <w:rFonts w:hint="eastAsia" w:ascii="Times New Roman" w:hAnsi="Times New Roman" w:cs="Times New Roman"/>
          <w:szCs w:val="22"/>
          <w:highlight w:val="none"/>
          <w:lang w:val="en-US" w:eastAsia="zh-CN"/>
        </w:rPr>
        <w:t xml:space="preserve">01包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累计合同金额不少于150万元供货业绩。代理商可使用所代理设备制造商的供货业绩。</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eastAsia" w:ascii="Times New Roman" w:hAnsi="Times New Roman" w:cs="Times New Roman"/>
          <w:szCs w:val="22"/>
          <w:highlight w:val="none"/>
          <w:lang w:val="en-US" w:eastAsia="zh-CN"/>
        </w:rPr>
        <w:t xml:space="preserve">02包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累计合同金额不少于30万元供货业绩。代理商可使用所代理设备制造商的供货业绩。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29452_WPSOffice_Level2"/>
      <w:bookmarkStart w:id="27" w:name="_Toc4751"/>
      <w:bookmarkStart w:id="28" w:name="_Toc1994"/>
      <w:bookmarkStart w:id="29" w:name="_Toc525632588"/>
      <w:bookmarkStart w:id="30" w:name="_Toc2996_WPSOffice_Level2"/>
      <w:bookmarkStart w:id="31" w:name="_Toc25666_WPSOffice_Level2"/>
      <w:bookmarkStart w:id="32" w:name="_Toc4109_WPSOffice_Level2"/>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726"/>
      <w:bookmarkStart w:id="34" w:name="_Toc525632589"/>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29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22719"/>
      <w:bookmarkStart w:id="36" w:name="_Toc525632591"/>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5"/>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28</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321_WPSOffice_Level2"/>
      <w:bookmarkStart w:id="38" w:name="_Toc14943_WPSOffice_Level2"/>
      <w:bookmarkStart w:id="39" w:name="_Toc26829"/>
      <w:bookmarkStart w:id="40" w:name="_Toc525632592"/>
      <w:bookmarkStart w:id="41" w:name="_Toc28571_WPSOffice_Level2"/>
      <w:bookmarkStart w:id="42" w:name="_Toc20572_WPSOffice_Level2"/>
      <w:bookmarkStart w:id="43" w:name="_Toc8501"/>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636A1FBA">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b/>
          <w:sz w:val="36"/>
          <w:szCs w:val="36"/>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21</w:t>
      </w:r>
      <w:r>
        <w:rPr>
          <w:rFonts w:hint="default" w:ascii="Times New Roman" w:hAnsi="Times New Roman" w:cs="Times New Roman"/>
          <w:color w:val="auto"/>
          <w:sz w:val="21"/>
          <w:szCs w:val="22"/>
          <w:highlight w:val="none"/>
        </w:rPr>
        <w:t>日</w:t>
      </w:r>
    </w:p>
    <w:p w14:paraId="38FB390F">
      <w:pPr>
        <w:spacing w:line="360" w:lineRule="auto"/>
        <w:jc w:val="center"/>
        <w:rPr>
          <w:rFonts w:hint="default" w:ascii="Times New Roman" w:hAnsi="Times New Roman" w:cs="Times New Roman"/>
          <w:b/>
          <w:sz w:val="36"/>
          <w:szCs w:val="36"/>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5"/>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5"/>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2"/>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2"/>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eastAsia" w:ascii="Times New Roman" w:hAnsi="Times New Roman" w:cs="Times New Roman"/>
          <w:lang w:val="en-US" w:eastAsia="zh-CN"/>
        </w:rPr>
        <w:t>1</w:t>
      </w:r>
      <w:r>
        <w:rPr>
          <w:rFonts w:hint="default" w:ascii="Times New Roman" w:hAnsi="Times New Roman" w:cs="Times New Roman"/>
          <w:lang w:val="en-US" w:eastAsia="zh-CN"/>
        </w:rPr>
        <w:t>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26656960"/>
      <w:bookmarkStart w:id="45" w:name="_Toc14201229"/>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14201232"/>
      <w:bookmarkStart w:id="49" w:name="_Toc26656963"/>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14201241"/>
      <w:bookmarkStart w:id="51" w:name="_Toc9067725"/>
      <w:bookmarkStart w:id="52" w:name="_Toc26656972"/>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14201242"/>
      <w:bookmarkStart w:id="54" w:name="_Toc26656973"/>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26656975"/>
      <w:bookmarkStart w:id="56" w:name="_Toc14201244"/>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26656977"/>
      <w:bookmarkStart w:id="61" w:name="_Toc14201246"/>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14201247"/>
      <w:bookmarkStart w:id="63" w:name="_Toc26656978"/>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14201248"/>
      <w:bookmarkStart w:id="65" w:name="_Toc26656979"/>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26656984"/>
      <w:bookmarkStart w:id="67" w:name="_Toc14201253"/>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9067727"/>
      <w:bookmarkStart w:id="69" w:name="_Toc26656988"/>
      <w:bookmarkStart w:id="70" w:name="_Toc14201257"/>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14201262"/>
      <w:bookmarkStart w:id="72" w:name="_Toc26656993"/>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14201263"/>
      <w:bookmarkStart w:id="74" w:name="_Toc26656994"/>
      <w:bookmarkStart w:id="75" w:name="_Toc9067731"/>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1</w:t>
            </w:r>
            <w:r>
              <w:rPr>
                <w:rFonts w:hint="default" w:ascii="Times New Roman" w:hAnsi="Times New Roman" w:eastAsia="宋体" w:cs="Times New Roman"/>
                <w:kern w:val="0"/>
                <w:szCs w:val="21"/>
                <w:lang w:val="en-US" w:eastAsia="zh-CN"/>
              </w:rPr>
              <w:t>个</w:t>
            </w:r>
            <w:r>
              <w:rPr>
                <w:rFonts w:hint="default" w:ascii="Times New Roman" w:hAnsi="Times New Roman" w:eastAsia="宋体" w:cs="Times New Roman"/>
                <w:kern w:val="0"/>
                <w:szCs w:val="21"/>
              </w:rPr>
              <w:t>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4F4D067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default" w:ascii="Times New Roman" w:hAnsi="Times New Roman" w:eastAsia="宋体" w:cs="Times New Roman"/>
                <w:szCs w:val="21"/>
                <w:highlight w:val="none"/>
                <w:lang w:val="en-US" w:eastAsia="zh-CN"/>
              </w:rPr>
              <w:t>设备技术性能指标中技术参数每</w:t>
            </w:r>
            <w:r>
              <w:rPr>
                <w:rFonts w:hint="eastAsia" w:ascii="Times New Roman" w:hAnsi="Times New Roman" w:eastAsia="宋体" w:cs="Times New Roman"/>
                <w:szCs w:val="21"/>
                <w:highlight w:val="none"/>
                <w:lang w:val="en-US" w:eastAsia="zh-CN"/>
              </w:rPr>
              <w:t>优于1</w:t>
            </w:r>
            <w:r>
              <w:rPr>
                <w:rFonts w:hint="default" w:ascii="Times New Roman" w:hAnsi="Times New Roman" w:eastAsia="宋体" w:cs="Times New Roman"/>
                <w:szCs w:val="21"/>
                <w:highlight w:val="none"/>
                <w:lang w:val="en-US" w:eastAsia="zh-CN"/>
              </w:rPr>
              <w:t>条</w:t>
            </w:r>
            <w:r>
              <w:rPr>
                <w:rFonts w:hint="eastAsia" w:ascii="Times New Roman" w:hAnsi="Times New Roman" w:eastAsia="宋体" w:cs="Times New Roman"/>
                <w:szCs w:val="21"/>
                <w:highlight w:val="none"/>
                <w:lang w:val="en-US" w:eastAsia="zh-CN"/>
              </w:rPr>
              <w:t>加</w:t>
            </w:r>
            <w:r>
              <w:rPr>
                <w:rFonts w:hint="default" w:ascii="Times New Roman" w:hAnsi="Times New Roman" w:eastAsia="宋体" w:cs="Times New Roman"/>
                <w:szCs w:val="21"/>
                <w:highlight w:val="none"/>
                <w:lang w:val="en-US" w:eastAsia="zh-CN"/>
              </w:rPr>
              <w:t>2分，</w:t>
            </w:r>
            <w:r>
              <w:rPr>
                <w:rFonts w:hint="eastAsia" w:ascii="Times New Roman" w:hAnsi="Times New Roman" w:eastAsia="宋体" w:cs="Times New Roman"/>
                <w:szCs w:val="21"/>
                <w:highlight w:val="none"/>
                <w:lang w:val="en-US" w:eastAsia="zh-CN"/>
              </w:rPr>
              <w:t>本项最高得</w:t>
            </w:r>
            <w:r>
              <w:rPr>
                <w:rFonts w:hint="default" w:ascii="Times New Roman" w:hAnsi="Times New Roman" w:eastAsia="宋体" w:cs="Times New Roman"/>
                <w:szCs w:val="21"/>
                <w:highlight w:val="none"/>
                <w:lang w:val="en-US" w:eastAsia="zh-CN"/>
              </w:rPr>
              <w:t>24分</w:t>
            </w:r>
            <w:r>
              <w:rPr>
                <w:rFonts w:hint="eastAsia" w:ascii="Times New Roman" w:hAnsi="Times New Roman" w:eastAsia="宋体" w:cs="Times New Roman"/>
                <w:szCs w:val="21"/>
                <w:highlight w:val="none"/>
                <w:lang w:val="en-US" w:eastAsia="zh-CN"/>
              </w:rPr>
              <w:t>，所有技术参数须满足招标文件技术规格最低要求，任一参数不满足招标文件技术规格最低要求，投标将被否决。</w:t>
            </w:r>
            <w:bookmarkStart w:id="171" w:name="_GoBack"/>
            <w:bookmarkEnd w:id="171"/>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highlight w:val="none"/>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5"/>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5"/>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3"/>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7"/>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8"/>
        <w:rPr>
          <w:rFonts w:hint="default" w:ascii="Times New Roman" w:hAnsi="Times New Roman" w:cs="Times New Roman"/>
          <w:szCs w:val="21"/>
        </w:rPr>
      </w:pPr>
    </w:p>
    <w:p w14:paraId="6B00AAE2">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8"/>
        <w:rPr>
          <w:rFonts w:hint="default" w:ascii="Times New Roman" w:hAnsi="Times New Roman" w:cs="Times New Roman"/>
          <w:szCs w:val="21"/>
        </w:rPr>
      </w:pPr>
    </w:p>
    <w:p w14:paraId="35803A3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8"/>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5"/>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2"/>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3"/>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tbl>
      <w:tblPr>
        <w:tblStyle w:val="15"/>
        <w:tblpPr w:leftFromText="180" w:rightFromText="180" w:vertAnchor="text" w:tblpXSpec="center" w:tblpY="1"/>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4"/>
        <w:gridCol w:w="7625"/>
      </w:tblGrid>
      <w:tr w14:paraId="1FC7E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EDC0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bookmarkStart w:id="79" w:name="_Toc101186772"/>
            <w:bookmarkStart w:id="80" w:name="_Toc9834_WPSOffice_Level1"/>
            <w:r>
              <w:rPr>
                <w:rFonts w:hint="default" w:ascii="Times New Roman" w:hAnsi="Times New Roman" w:eastAsia="宋体" w:cs="Times New Roman"/>
                <w:b/>
                <w:bCs/>
                <w:i w:val="0"/>
                <w:iCs w:val="0"/>
                <w:color w:val="000000"/>
                <w:kern w:val="0"/>
                <w:sz w:val="21"/>
                <w:szCs w:val="21"/>
                <w:u w:val="none"/>
                <w:lang w:val="en-US" w:eastAsia="zh-CN" w:bidi="ar"/>
              </w:rPr>
              <w:t>四</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669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防撞缓冲车技术参数要求</w:t>
            </w:r>
          </w:p>
        </w:tc>
      </w:tr>
      <w:tr w14:paraId="7CFF8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E0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F6A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用途：用于高速公路养护作业现场安全防护。</w:t>
            </w:r>
          </w:p>
        </w:tc>
      </w:tr>
      <w:tr w14:paraId="3AB96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82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F2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符合国家《机动车运行安全技术条件》，产品为国家工业和信息化部《车辆生产企业及产品公告》产品。产品具有3C认证。</w:t>
            </w:r>
          </w:p>
        </w:tc>
      </w:tr>
      <w:tr w14:paraId="26D8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6F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99B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提供柴油发动机生产厂家/产地/型号（不低于中国重汽、玉柴发动机或更优品牌）。</w:t>
            </w:r>
          </w:p>
        </w:tc>
      </w:tr>
      <w:tr w14:paraId="5C39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F8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9F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发动机功率：≥120kw，发动机排量：≥2.5L，排放国VI或更优。</w:t>
            </w:r>
          </w:p>
        </w:tc>
      </w:tr>
      <w:tr w14:paraId="162FE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674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22C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底盘：采用东风、重汽或同档次及以上底盘。</w:t>
            </w:r>
          </w:p>
        </w:tc>
      </w:tr>
      <w:tr w14:paraId="2E97D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26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846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发动机燃油类型：柴油。</w:t>
            </w:r>
          </w:p>
        </w:tc>
      </w:tr>
      <w:tr w14:paraId="30EE9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41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ACE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最高车速（防撞垫关闭状态）≥100km/h，工作时行驶速度≥70km/h（防撞垫打开状态）。</w:t>
            </w:r>
          </w:p>
        </w:tc>
      </w:tr>
      <w:tr w14:paraId="69A5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6E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DD2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总质量≥12400kg，整备质量≥12000kg。</w:t>
            </w:r>
          </w:p>
        </w:tc>
      </w:tr>
      <w:tr w14:paraId="48E4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DA2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B8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轴距≥3900mm。</w:t>
            </w:r>
          </w:p>
        </w:tc>
      </w:tr>
      <w:tr w14:paraId="5CB26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7BE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0E3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外形尺寸≤7630*2550*3960mm。</w:t>
            </w:r>
          </w:p>
        </w:tc>
      </w:tr>
      <w:tr w14:paraId="76B7C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7B2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53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车辆预警装置： LED情报板+高亮LED箭头板+300W长条警灯+警报器。</w:t>
            </w:r>
          </w:p>
        </w:tc>
      </w:tr>
      <w:tr w14:paraId="49833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C8B5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42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LED情报板尺寸≥1300*400mm，显示内容/输入方式：wifi/平板电脑/手机/app。</w:t>
            </w:r>
          </w:p>
        </w:tc>
      </w:tr>
      <w:tr w14:paraId="6559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299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D8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高亮LED箭头板尺寸≥27个灯块，通过LED箭头板，可以显示向左侧通行、向右侧通行、禁止通行等警示导向指示。</w:t>
            </w:r>
          </w:p>
        </w:tc>
      </w:tr>
      <w:tr w14:paraId="18A9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B4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17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300W长条警灯：颜色为工程黄色。</w:t>
            </w:r>
          </w:p>
        </w:tc>
      </w:tr>
      <w:tr w14:paraId="5670B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D5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88E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车载警报器：DC24V、100W。</w:t>
            </w:r>
          </w:p>
        </w:tc>
      </w:tr>
      <w:tr w14:paraId="05955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7C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6B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照明装备：配备可伸缩高杆LED照明灯（遥控或有线），展开后离地高度≥4.0m，灯具功率：150W*2，连续工作时间≥24H，防护等级≥IP67。</w:t>
            </w:r>
          </w:p>
        </w:tc>
      </w:tr>
      <w:tr w14:paraId="4429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A8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BB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配有车载柴油发电机，可独立供电给车辆预警装置及照明装备同时使用≥12小时，带有自启自停功能。</w:t>
            </w:r>
          </w:p>
        </w:tc>
      </w:tr>
      <w:tr w14:paraId="6CAC5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0E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07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防撞缓冲等级：TL</w:t>
            </w:r>
            <w:r>
              <w:rPr>
                <w:rFonts w:hint="default" w:ascii="Times New Roman" w:hAnsi="Times New Roman" w:eastAsia="宋体" w:cs="Times New Roman"/>
                <w:i w:val="0"/>
                <w:iCs w:val="0"/>
                <w:color w:val="000000"/>
                <w:kern w:val="0"/>
                <w:sz w:val="21"/>
                <w:szCs w:val="21"/>
                <w:u w:val="none"/>
                <w:lang w:val="en-US" w:eastAsia="zh-CN" w:bidi="ar"/>
              </w:rPr>
              <w:noBreakHyphen/>
            </w:r>
            <w:r>
              <w:rPr>
                <w:rFonts w:hint="default" w:ascii="Times New Roman" w:hAnsi="Times New Roman" w:eastAsia="宋体" w:cs="Times New Roman"/>
                <w:i w:val="0"/>
                <w:iCs w:val="0"/>
                <w:color w:val="000000"/>
                <w:kern w:val="0"/>
                <w:sz w:val="21"/>
                <w:szCs w:val="21"/>
                <w:u w:val="none"/>
                <w:lang w:val="en-US" w:eastAsia="zh-CN" w:bidi="ar"/>
              </w:rPr>
              <w:t>3或100K。</w:t>
            </w:r>
          </w:p>
        </w:tc>
      </w:tr>
      <w:tr w14:paraId="77AC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52F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D5B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防撞等级依据标准：具体防撞要求符合《MASH2016》标准（或相当于此标准）。</w:t>
            </w:r>
          </w:p>
        </w:tc>
      </w:tr>
      <w:tr w14:paraId="55BE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6"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136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33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碰撞报告要求：提供1.1T-100km/h正碰和2.27T-100km/h等级正碰、偏碰、斜碰三个角度共4次实车足尺碰撞测试报告，测试报告中的防撞缓冲垫应和投标产品外观一致。碰撞测试报告应有碰撞前、碰撞中、碰撞后的照片。（需提供国家权威认证的第三方机构出具的检测报告）</w:t>
            </w:r>
          </w:p>
        </w:tc>
      </w:tr>
      <w:tr w14:paraId="3CDE1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626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31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防撞缓冲垫外形尺寸： ≥3100*2300*650mm  （不含安装结构）</w:t>
            </w:r>
          </w:p>
        </w:tc>
      </w:tr>
      <w:tr w14:paraId="764F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7"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226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41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防撞缓冲垫结构形式： 本体应当前后等宽，一体式矩形设计（非折叠式或分体式）；外壳采用铝合金材料制成，中间填充为航空军工级吸能铝蜂窝材料（提供国家权威认证的第三方机构出具的材料检测报告、防撞缓冲垫剖解图）。</w:t>
            </w:r>
          </w:p>
        </w:tc>
      </w:tr>
      <w:tr w14:paraId="27A10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D0E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5B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需采用一体式吸能结构，在碰撞过程中，防撞垫变形部位向内弯折，吸能材料和变形部件没有任何形式的向外弯折和飞溅，同时防撞缓冲垫两侧具有凹型波纹导向加强设计，防止后车撞击时出现骑爬或钻入前车底部风险。</w:t>
            </w:r>
          </w:p>
        </w:tc>
      </w:tr>
      <w:tr w14:paraId="2DF3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06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A9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颠簸测试：供货的同类型防撞缓冲垫需经过结构颠簸测试，结构强度达标。（提供相关的测试报告）</w:t>
            </w:r>
          </w:p>
        </w:tc>
      </w:tr>
      <w:tr w14:paraId="01A2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21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6B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防撞缓冲垫动力系统：独立电动液压动力单元。</w:t>
            </w:r>
          </w:p>
        </w:tc>
      </w:tr>
      <w:tr w14:paraId="6F9D4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5C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B3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防撞缓冲垫可翻转 0-180度，可折叠置于车厢上方（提供照片佐证）</w:t>
            </w:r>
          </w:p>
        </w:tc>
      </w:tr>
      <w:tr w14:paraId="57DC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4C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6A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车辆配有行车记录仪和360全景影像，储存内存容量≥2T。</w:t>
            </w:r>
          </w:p>
        </w:tc>
      </w:tr>
      <w:tr w14:paraId="509E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984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DCE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防撞车被撞后，供应商应免费协助办理保险理赔。</w:t>
            </w:r>
          </w:p>
        </w:tc>
      </w:tr>
      <w:tr w14:paraId="4345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7"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3F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63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防撞车发生事故后，供应商需具备在24小时内完成更换原厂防撞包的能力。供应商在防撞车维修期间免费提供一台备用车辆（保险齐全，24小时内到位）供使用方使用。</w:t>
            </w:r>
          </w:p>
        </w:tc>
      </w:tr>
      <w:tr w14:paraId="493FE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7"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7B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4.31</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F1B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整车车身颜色为工程黄色，驾驶室顶安装长排黄色警灯，驾驶室内应有收音机等设备，带冷暖空调，座位：≥2；均带助力转向装置、随车简易车辆维修工具。</w:t>
            </w:r>
          </w:p>
        </w:tc>
      </w:tr>
      <w:tr w14:paraId="1FAAE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90A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4.32</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55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车辆购置税：由供应商代缴后，采购人根据车辆购置税发票据实与供应商结算。</w:t>
            </w:r>
          </w:p>
        </w:tc>
      </w:tr>
      <w:tr w14:paraId="38751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5"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7A9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B0E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上牌时,须按需方指定地点和方式执行,选择的牌号也须经需方认可。采购人配合提供公司相关证明及在相关表格加盖公章等）。商业保险及上牌费（含交强险、车损险（≥车价）、第三者责任险(300万元)、自燃险、人员险10万元/人×座位数、不计免赔特约。上牌时,须按采购人指定地点和方式执行,选择的牌号也须经采购人认可。采购人配合提供公司相关证明及在相关表格加盖公章等）。</w:t>
            </w:r>
          </w:p>
        </w:tc>
      </w:tr>
      <w:tr w14:paraId="51998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9D4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五</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F6C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供货要求</w:t>
            </w:r>
          </w:p>
        </w:tc>
      </w:tr>
      <w:tr w14:paraId="1AC08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15C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CF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设备整体颜色为工程黄色</w:t>
            </w:r>
          </w:p>
        </w:tc>
      </w:tr>
      <w:tr w14:paraId="3DAE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C74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8E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质保期：24个月</w:t>
            </w:r>
          </w:p>
        </w:tc>
      </w:tr>
      <w:tr w14:paraId="3670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0BC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16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交货期：≤60天（合同签订后60天内。）</w:t>
            </w:r>
          </w:p>
        </w:tc>
      </w:tr>
      <w:tr w14:paraId="4B0C9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A2E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4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66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供货商所供货物需满足技术参数要求。</w:t>
            </w:r>
          </w:p>
        </w:tc>
      </w:tr>
    </w:tbl>
    <w:p w14:paraId="2297AF53">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p>
    <w:p w14:paraId="34E19BB5">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4、采购服务要求</w:t>
      </w:r>
    </w:p>
    <w:p w14:paraId="421343A2">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w:t>
      </w:r>
      <w:r>
        <w:rPr>
          <w:rFonts w:hint="eastAsia" w:ascii="Times New Roman" w:hAnsi="Times New Roman" w:eastAsia="宋体" w:cs="Times New Roman"/>
          <w:i w:val="0"/>
          <w:iCs w:val="0"/>
          <w:color w:val="auto"/>
          <w:kern w:val="0"/>
          <w:sz w:val="21"/>
          <w:szCs w:val="21"/>
          <w:highlight w:val="none"/>
          <w:u w:val="none"/>
          <w:lang w:val="en-US" w:eastAsia="zh-CN" w:bidi="ar"/>
        </w:rPr>
        <w:t>1设备必须满足技术规格的最低要求</w:t>
      </w:r>
      <w:r>
        <w:rPr>
          <w:rFonts w:hint="eastAsia" w:ascii="Times New Roman" w:hAnsi="Times New Roman" w:eastAsia="宋体" w:cs="Times New Roman"/>
          <w:i w:val="0"/>
          <w:iCs w:val="0"/>
          <w:color w:val="000000"/>
          <w:kern w:val="0"/>
          <w:sz w:val="21"/>
          <w:szCs w:val="21"/>
          <w:u w:val="none"/>
          <w:lang w:val="en-US" w:eastAsia="zh-CN" w:bidi="ar"/>
        </w:rPr>
        <w:t>（见设备参数一览表）。</w:t>
      </w:r>
    </w:p>
    <w:p w14:paraId="1C61B0D7">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4.2按照采购人要求按时交付使用。</w:t>
      </w:r>
    </w:p>
    <w:p w14:paraId="76D58BF9">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4.3负责采购过程中质量监督。</w:t>
      </w:r>
    </w:p>
    <w:p w14:paraId="108CBDAB">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4.4交车时间与地点、交付及验收方式由甲方指定。</w:t>
      </w:r>
    </w:p>
    <w:p w14:paraId="14BCECA6">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4.5车辆购置税：由供应商代缴后，采购人根据车辆购置税发票据实与供应商结算。</w:t>
      </w:r>
    </w:p>
    <w:p w14:paraId="51AC6603">
      <w:pPr>
        <w:keepNext w:val="0"/>
        <w:keepLines w:val="0"/>
        <w:widowControl/>
        <w:suppressLineNumbers w:val="0"/>
        <w:jc w:val="left"/>
        <w:textAlignment w:val="center"/>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4.6安排一名项目负责人沟通协调和后续服务工作，直至项目完成。</w:t>
      </w:r>
    </w:p>
    <w:p w14:paraId="2D9D83B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color w:val="000000"/>
          <w:kern w:val="0"/>
          <w:sz w:val="21"/>
          <w:szCs w:val="21"/>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17394_WPSOffice_Level1"/>
      <w:bookmarkStart w:id="82" w:name="_Toc1914_WPSOffice_Level1"/>
      <w:bookmarkStart w:id="83" w:name="_Toc5145_WPSOffice_Level1"/>
      <w:bookmarkStart w:id="84" w:name="_Toc27552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5520_WPSOffice_Level2"/>
      <w:bookmarkStart w:id="86" w:name="_Toc25232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20076_WPSOffice_Level2"/>
      <w:bookmarkStart w:id="88" w:name="_Toc31577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1974_WPSOffice_Level2"/>
      <w:bookmarkStart w:id="90" w:name="_Toc22351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6353_WPSOffice_Level1"/>
      <w:bookmarkStart w:id="92" w:name="_Toc30529_WPSOffice_Level1"/>
      <w:bookmarkStart w:id="93" w:name="_Toc11424_WPSOffice_Level1"/>
      <w:bookmarkStart w:id="94" w:name="_Toc23368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5317_WPSOffice_Level1"/>
      <w:bookmarkStart w:id="97" w:name="_Toc21229_WPSOffice_Level1"/>
      <w:bookmarkStart w:id="98" w:name="_Toc31927_WPSOffice_Level1"/>
      <w:bookmarkStart w:id="99" w:name="_Toc32729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4728_WPSOffice_Level1"/>
      <w:bookmarkStart w:id="101" w:name="_Toc25965_WPSOffice_Level1"/>
      <w:bookmarkStart w:id="102" w:name="_Toc29085_WPSOffice_Level1"/>
      <w:bookmarkStart w:id="103" w:name="_Toc23356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10608_WPSOffice_Level1"/>
      <w:bookmarkStart w:id="105" w:name="_Toc18964_WPSOffice_Level1"/>
      <w:bookmarkStart w:id="106" w:name="_Toc7453_WPSOffice_Level1"/>
      <w:bookmarkStart w:id="107" w:name="_Toc23744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9601_WPSOffice_Level1"/>
      <w:bookmarkStart w:id="109" w:name="_Toc23751_WPSOffice_Level1"/>
      <w:bookmarkStart w:id="110" w:name="_Toc1578_WPSOffice_Level1"/>
      <w:bookmarkStart w:id="111" w:name="_Toc9006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24082_WPSOffice_Level1"/>
      <w:bookmarkStart w:id="113" w:name="_Toc31314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32220_WPSOffice_Level1"/>
      <w:bookmarkStart w:id="117" w:name="_Toc20930_WPSOffice_Level1"/>
      <w:r>
        <w:rPr>
          <w:rFonts w:hint="default" w:ascii="Times New Roman" w:hAnsi="Times New Roman" w:eastAsia="黑体" w:cs="Times New Roman"/>
          <w:sz w:val="24"/>
        </w:rPr>
        <w:t>七</w:t>
      </w:r>
      <w:bookmarkEnd w:id="114"/>
      <w:bookmarkEnd w:id="115"/>
      <w:bookmarkEnd w:id="116"/>
      <w:bookmarkEnd w:id="117"/>
      <w:bookmarkStart w:id="118" w:name="_Toc30273_WPSOffice_Level1"/>
      <w:bookmarkStart w:id="119" w:name="_Toc25804_WPSOffice_Level1"/>
      <w:bookmarkStart w:id="120" w:name="_Toc32648_WPSOffice_Level1"/>
      <w:bookmarkStart w:id="121" w:name="_Toc27403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4051_WPSOffice_Level1"/>
      <w:bookmarkStart w:id="123" w:name="_Toc23147_WPSOffice_Level1"/>
      <w:bookmarkStart w:id="124" w:name="_Toc30234_WPSOffice_Level1"/>
      <w:bookmarkStart w:id="125" w:name="_Toc32152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16988_WPSOffice_Level1"/>
      <w:bookmarkStart w:id="127" w:name="_Toc5885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30031_WPSOffice_Level1"/>
      <w:bookmarkStart w:id="129" w:name="_Toc1687_WPSOffice_Level1"/>
      <w:bookmarkStart w:id="130" w:name="_Toc29399_WPSOffice_Level1"/>
      <w:bookmarkStart w:id="131" w:name="_Toc2765_WPSOffice_Level1"/>
      <w:bookmarkStart w:id="132" w:name="_Toc18312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2"/>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2"/>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12530_WPSOffice_Level1"/>
      <w:bookmarkStart w:id="134" w:name="_Toc32350_WPSOffice_Level1"/>
      <w:bookmarkStart w:id="135" w:name="_Toc14563_WPSOffice_Level1"/>
      <w:bookmarkStart w:id="136" w:name="_Toc18668_WPSOffice_Level1"/>
      <w:bookmarkStart w:id="137" w:name="_Toc8695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20803_WPSOffice_Level2"/>
      <w:bookmarkStart w:id="139" w:name="_Toc515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2035_WPSOffice_Level2"/>
      <w:bookmarkStart w:id="141" w:name="_Toc19768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15186_WPSOffice_Level1"/>
      <w:bookmarkStart w:id="143" w:name="_Toc24567_WPSOffice_Level1"/>
      <w:bookmarkStart w:id="144" w:name="_Toc24530_WPSOffice_Level1"/>
      <w:bookmarkStart w:id="145" w:name="_Toc32085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31316"/>
            <w:bookmarkStart w:id="148" w:name="_Toc29844"/>
            <w:bookmarkStart w:id="149" w:name="_Toc6273"/>
            <w:bookmarkStart w:id="150" w:name="_Toc18409_WPSOffice_Level1"/>
            <w:bookmarkStart w:id="151" w:name="_Toc55466874"/>
            <w:bookmarkStart w:id="152" w:name="_Toc7024"/>
            <w:bookmarkStart w:id="153" w:name="_Toc15712"/>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22815_WPSOffice_Level1"/>
      <w:bookmarkStart w:id="155" w:name="_Toc10436_WPSOffice_Level1"/>
      <w:bookmarkStart w:id="156" w:name="_Toc31445_WPSOffice_Level1"/>
      <w:bookmarkStart w:id="157" w:name="_Toc23545_WPSOffice_Level1"/>
      <w:bookmarkStart w:id="158" w:name="_Toc7738_WPSOffice_Level1"/>
    </w:p>
    <w:p w14:paraId="70416B21">
      <w:pPr>
        <w:rPr>
          <w:rFonts w:hint="default" w:ascii="Times New Roman" w:hAnsi="Times New Roman" w:eastAsia="黑体" w:cs="Times New Roman"/>
          <w:sz w:val="28"/>
          <w:szCs w:val="28"/>
        </w:rPr>
      </w:pPr>
    </w:p>
    <w:p w14:paraId="7CD90704">
      <w:pPr>
        <w:pStyle w:val="2"/>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807_WPSOffice_Level2"/>
      <w:bookmarkStart w:id="160" w:name="_Toc27600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7"/>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3772_WPSOffice_Level1"/>
      <w:bookmarkStart w:id="162" w:name="_Toc18547_WPSOffice_Level1"/>
      <w:bookmarkStart w:id="163" w:name="_Toc5072_WPSOffice_Level1"/>
      <w:bookmarkStart w:id="164" w:name="_Toc19004_WPSOffice_Level1"/>
      <w:bookmarkStart w:id="165" w:name="_Toc1452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9267_WPSOffice_Level1"/>
      <w:bookmarkStart w:id="167" w:name="_Toc12019_WPSOffice_Level1"/>
      <w:bookmarkStart w:id="168" w:name="_Toc5403_WPSOffice_Level1"/>
      <w:bookmarkStart w:id="169" w:name="_Toc3893_WPSOffice_Level1"/>
      <w:bookmarkStart w:id="170" w:name="_Toc30712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5"/>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5"/>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5"/>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5"/>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5"/>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5"/>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2"/>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5"/>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3"/>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2"/>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0537A7"/>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2C2A1E"/>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732342"/>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1A2B32"/>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7A298E"/>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44CEE"/>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04652"/>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CA3E1B"/>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67CA1"/>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CFE7A1D"/>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0FC24C5"/>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843A6"/>
    <w:rsid w:val="728C7879"/>
    <w:rsid w:val="729C5D0C"/>
    <w:rsid w:val="72A80664"/>
    <w:rsid w:val="72B33B48"/>
    <w:rsid w:val="72BF19FC"/>
    <w:rsid w:val="72CC236B"/>
    <w:rsid w:val="72D17CEA"/>
    <w:rsid w:val="730205CB"/>
    <w:rsid w:val="73047594"/>
    <w:rsid w:val="730C7017"/>
    <w:rsid w:val="732032AC"/>
    <w:rsid w:val="73253CEE"/>
    <w:rsid w:val="73282EAD"/>
    <w:rsid w:val="732B7092"/>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D0D99"/>
    <w:rsid w:val="7BF7759F"/>
    <w:rsid w:val="7C0E5BCD"/>
    <w:rsid w:val="7C1B4A3B"/>
    <w:rsid w:val="7C211D7D"/>
    <w:rsid w:val="7C2E45FA"/>
    <w:rsid w:val="7C366D83"/>
    <w:rsid w:val="7C665AD8"/>
    <w:rsid w:val="7C6B6133"/>
    <w:rsid w:val="7C8B7927"/>
    <w:rsid w:val="7C943EFA"/>
    <w:rsid w:val="7CA44559"/>
    <w:rsid w:val="7CAB2FF1"/>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2">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rPr>
      <w:szCs w:val="20"/>
    </w:rPr>
  </w:style>
  <w:style w:type="paragraph" w:styleId="5">
    <w:name w:val="Body Text"/>
    <w:basedOn w:val="1"/>
    <w:next w:val="6"/>
    <w:autoRedefine/>
    <w:qFormat/>
    <w:uiPriority w:val="0"/>
    <w:pPr>
      <w:spacing w:after="120"/>
    </w:pPr>
  </w:style>
  <w:style w:type="paragraph" w:styleId="6">
    <w:name w:val="Title"/>
    <w:basedOn w:val="1"/>
    <w:next w:val="1"/>
    <w:autoRedefine/>
    <w:qFormat/>
    <w:uiPriority w:val="0"/>
    <w:pPr>
      <w:jc w:val="center"/>
    </w:pPr>
    <w:rPr>
      <w:sz w:val="30"/>
      <w:szCs w:val="30"/>
    </w:rPr>
  </w:style>
  <w:style w:type="paragraph" w:styleId="7">
    <w:name w:val="Body Text Indent"/>
    <w:basedOn w:val="1"/>
    <w:next w:val="8"/>
    <w:autoRedefine/>
    <w:qFormat/>
    <w:uiPriority w:val="0"/>
    <w:pPr>
      <w:spacing w:after="120"/>
      <w:ind w:left="420" w:leftChars="200"/>
    </w:pPr>
  </w:style>
  <w:style w:type="paragraph" w:styleId="8">
    <w:name w:val="envelope return"/>
    <w:basedOn w:val="1"/>
    <w:autoRedefine/>
    <w:unhideWhenUsed/>
    <w:qFormat/>
    <w:uiPriority w:val="99"/>
    <w:pPr>
      <w:snapToGrid w:val="0"/>
      <w:ind w:firstLine="200"/>
    </w:pPr>
    <w:rPr>
      <w:rFonts w:ascii="Arial" w:hAnsi="Arial" w:cs="Arial"/>
      <w:szCs w:val="20"/>
    </w:rPr>
  </w:style>
  <w:style w:type="paragraph" w:styleId="9">
    <w:name w:val="List 2"/>
    <w:basedOn w:val="1"/>
    <w:qFormat/>
    <w:uiPriority w:val="0"/>
    <w:pPr>
      <w:ind w:left="100" w:leftChars="200" w:hanging="200" w:hangingChars="200"/>
    </w:pPr>
  </w:style>
  <w:style w:type="paragraph" w:styleId="10">
    <w:name w:val="Balloon Text"/>
    <w:basedOn w:val="1"/>
    <w:link w:val="41"/>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99"/>
    <w:pPr>
      <w:spacing w:beforeAutospacing="1" w:afterAutospacing="1"/>
      <w:jc w:val="left"/>
    </w:pPr>
    <w:rPr>
      <w:rFonts w:cs="Times New Roman"/>
      <w:kern w:val="0"/>
      <w:sz w:val="24"/>
    </w:rPr>
  </w:style>
  <w:style w:type="paragraph" w:styleId="14">
    <w:name w:val="Body Text First Indent 2"/>
    <w:basedOn w:val="7"/>
    <w:next w:val="5"/>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2"/>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2"/>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10"/>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2701</Words>
  <Characters>2985</Characters>
  <Lines>141</Lines>
  <Paragraphs>39</Paragraphs>
  <TotalTime>21</TotalTime>
  <ScaleCrop>false</ScaleCrop>
  <LinksUpToDate>false</LinksUpToDate>
  <CharactersWithSpaces>3183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2026-09-21T08:29:37Z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DBF7A6BC948C44429F89927BA8A17EFA_13</vt:lpwstr>
  </property>
  <property fmtid="{D5CDD505-2E9C-101B-9397-08002B2CF9AE}" pid="4" name="KSOTemplateDocerSaveRecord">
    <vt:lpwstr>eyJoZGlkIjoiODQ1N2I3OGFmYzhhZmVlYzE5NzU4OTRlOWE3OTk4OWYiLCJ1c2VySWQiOiIzODMyNjUzNDIifQ==</vt:lpwstr>
  </property>
</Properties>
</file>